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widowControl/>
        <w:adjustRightInd w:val="0"/>
        <w:snapToGrid w:val="0"/>
        <w:spacing w:line="360" w:lineRule="auto"/>
        <w:rPr>
          <w:rFonts w:ascii="黑体" w:eastAsia="黑体"/>
          <w:bCs/>
          <w:color w:val="000000" w:themeColor="text1"/>
          <w:sz w:val="32"/>
          <w:highlight w:val="none"/>
        </w:rPr>
      </w:pPr>
      <w:bookmarkStart w:id="0" w:name="_Toc491658631"/>
    </w:p>
    <w:p>
      <w:pPr>
        <w:pStyle w:val="24"/>
        <w:widowControl/>
        <w:adjustRightInd w:val="0"/>
        <w:snapToGrid w:val="0"/>
        <w:spacing w:line="360" w:lineRule="auto"/>
        <w:jc w:val="left"/>
        <w:rPr>
          <w:rFonts w:ascii="黑体" w:eastAsia="黑体"/>
          <w:bCs/>
          <w:color w:val="000000" w:themeColor="text1"/>
          <w:sz w:val="32"/>
          <w:highlight w:val="none"/>
        </w:rPr>
      </w:pPr>
      <w:r>
        <w:rPr>
          <w:rFonts w:hint="eastAsia" w:ascii="黑体" w:eastAsia="黑体"/>
          <w:bCs/>
          <w:color w:val="000000" w:themeColor="text1"/>
          <w:sz w:val="32"/>
          <w:highlight w:val="none"/>
        </w:rPr>
        <w:drawing>
          <wp:inline distT="0" distB="0" distL="0" distR="0">
            <wp:extent cx="2320290" cy="370840"/>
            <wp:effectExtent l="0" t="0" r="0" b="0"/>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320290" cy="370840"/>
                    </a:xfrm>
                    <a:prstGeom prst="rect">
                      <a:avLst/>
                    </a:prstGeom>
                    <a:noFill/>
                    <a:ln>
                      <a:noFill/>
                    </a:ln>
                  </pic:spPr>
                </pic:pic>
              </a:graphicData>
            </a:graphic>
          </wp:inline>
        </w:drawing>
      </w:r>
    </w:p>
    <w:p>
      <w:pPr>
        <w:pStyle w:val="24"/>
        <w:widowControl/>
        <w:adjustRightInd w:val="0"/>
        <w:snapToGrid w:val="0"/>
        <w:spacing w:line="360" w:lineRule="auto"/>
        <w:jc w:val="center"/>
        <w:rPr>
          <w:rFonts w:ascii="黑体" w:eastAsia="黑体"/>
          <w:bCs/>
          <w:color w:val="000000" w:themeColor="text1"/>
          <w:sz w:val="52"/>
          <w:szCs w:val="52"/>
          <w:highlight w:val="none"/>
        </w:rPr>
      </w:pPr>
    </w:p>
    <w:p>
      <w:pPr>
        <w:pStyle w:val="24"/>
        <w:widowControl/>
        <w:adjustRightInd w:val="0"/>
        <w:snapToGrid w:val="0"/>
        <w:spacing w:line="360" w:lineRule="auto"/>
        <w:jc w:val="center"/>
        <w:rPr>
          <w:rFonts w:ascii="黑体" w:eastAsia="黑体"/>
          <w:bCs/>
          <w:color w:val="000000" w:themeColor="text1"/>
          <w:sz w:val="52"/>
          <w:szCs w:val="52"/>
          <w:highlight w:val="none"/>
        </w:rPr>
      </w:pPr>
      <w:r>
        <w:rPr>
          <w:rFonts w:hint="eastAsia" w:ascii="黑体" w:eastAsia="黑体"/>
          <w:bCs/>
          <w:color w:val="000000" w:themeColor="text1"/>
          <w:sz w:val="52"/>
          <w:szCs w:val="52"/>
          <w:highlight w:val="none"/>
        </w:rPr>
        <w:t>公开招标</w:t>
      </w:r>
    </w:p>
    <w:p>
      <w:pPr>
        <w:pStyle w:val="24"/>
        <w:widowControl/>
        <w:adjustRightInd w:val="0"/>
        <w:snapToGrid w:val="0"/>
        <w:spacing w:line="360" w:lineRule="auto"/>
        <w:jc w:val="center"/>
        <w:rPr>
          <w:rFonts w:ascii="黑体" w:eastAsia="黑体"/>
          <w:bCs/>
          <w:color w:val="000000" w:themeColor="text1"/>
          <w:sz w:val="72"/>
          <w:szCs w:val="72"/>
          <w:highlight w:val="none"/>
        </w:rPr>
      </w:pPr>
    </w:p>
    <w:p>
      <w:pPr>
        <w:pStyle w:val="24"/>
        <w:widowControl/>
        <w:adjustRightInd w:val="0"/>
        <w:snapToGrid w:val="0"/>
        <w:spacing w:line="360" w:lineRule="auto"/>
        <w:jc w:val="center"/>
        <w:rPr>
          <w:rFonts w:ascii="黑体" w:eastAsia="黑体"/>
          <w:bCs/>
          <w:color w:val="000000" w:themeColor="text1"/>
          <w:sz w:val="36"/>
          <w:highlight w:val="none"/>
        </w:rPr>
      </w:pPr>
      <w:r>
        <w:rPr>
          <w:rFonts w:hint="eastAsia" w:ascii="黑体" w:eastAsia="黑体"/>
          <w:bCs/>
          <w:color w:val="000000" w:themeColor="text1"/>
          <w:sz w:val="72"/>
          <w:highlight w:val="none"/>
        </w:rPr>
        <w:t>招  标  文  件</w:t>
      </w:r>
    </w:p>
    <w:p>
      <w:pPr>
        <w:pStyle w:val="24"/>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rPr>
      </w:pPr>
      <w:r>
        <w:rPr>
          <w:rFonts w:hint="eastAsia" w:ascii="黑体" w:eastAsia="黑体"/>
          <w:bCs/>
          <w:color w:val="auto"/>
          <w:sz w:val="48"/>
          <w:szCs w:val="48"/>
          <w:highlight w:val="none"/>
          <w:lang w:eastAsia="zh-CN"/>
        </w:rPr>
        <w:t>（</w:t>
      </w:r>
      <w:r>
        <w:rPr>
          <w:rFonts w:hint="eastAsia" w:ascii="黑体" w:eastAsia="黑体"/>
          <w:bCs/>
          <w:color w:val="auto"/>
          <w:sz w:val="48"/>
          <w:szCs w:val="48"/>
          <w:highlight w:val="none"/>
          <w:lang w:val="en-US" w:eastAsia="zh-CN"/>
        </w:rPr>
        <w:t>论证版</w:t>
      </w:r>
      <w:r>
        <w:rPr>
          <w:rFonts w:hint="eastAsia" w:ascii="黑体" w:eastAsia="黑体"/>
          <w:bCs/>
          <w:color w:val="auto"/>
          <w:sz w:val="48"/>
          <w:szCs w:val="48"/>
          <w:highlight w:val="none"/>
          <w:lang w:eastAsia="zh-CN"/>
        </w:rPr>
        <w:t>）</w:t>
      </w:r>
    </w:p>
    <w:p>
      <w:pPr>
        <w:pStyle w:val="24"/>
        <w:widowControl/>
        <w:adjustRightInd w:val="0"/>
        <w:snapToGrid w:val="0"/>
        <w:spacing w:line="360" w:lineRule="auto"/>
        <w:jc w:val="center"/>
        <w:rPr>
          <w:rFonts w:ascii="黑体" w:eastAsia="黑体"/>
          <w:bCs/>
          <w:color w:val="000000" w:themeColor="text1"/>
          <w:sz w:val="52"/>
          <w:szCs w:val="52"/>
          <w:highlight w:val="none"/>
        </w:rPr>
      </w:pPr>
    </w:p>
    <w:p>
      <w:pPr>
        <w:pStyle w:val="24"/>
        <w:widowControl/>
        <w:adjustRightInd w:val="0"/>
        <w:snapToGrid w:val="0"/>
        <w:spacing w:line="360" w:lineRule="auto"/>
        <w:rPr>
          <w:rFonts w:ascii="黑体" w:eastAsia="黑体"/>
          <w:bCs/>
          <w:color w:val="000000" w:themeColor="text1"/>
          <w:sz w:val="52"/>
          <w:szCs w:val="52"/>
          <w:highlight w:val="none"/>
        </w:rPr>
      </w:pPr>
    </w:p>
    <w:p>
      <w:pPr>
        <w:pStyle w:val="24"/>
        <w:widowControl/>
        <w:adjustRightInd w:val="0"/>
        <w:snapToGrid w:val="0"/>
        <w:spacing w:line="360" w:lineRule="auto"/>
        <w:rPr>
          <w:rFonts w:ascii="黑体" w:eastAsia="黑体"/>
          <w:bCs/>
          <w:color w:val="000000" w:themeColor="text1"/>
          <w:sz w:val="52"/>
          <w:szCs w:val="52"/>
          <w:highlight w:val="none"/>
        </w:rPr>
      </w:pPr>
    </w:p>
    <w:tbl>
      <w:tblPr>
        <w:tblStyle w:val="47"/>
        <w:tblW w:w="8897" w:type="dxa"/>
        <w:jc w:val="center"/>
        <w:tblLayout w:type="fixed"/>
        <w:tblCellMar>
          <w:top w:w="0" w:type="dxa"/>
          <w:left w:w="108" w:type="dxa"/>
          <w:bottom w:w="0" w:type="dxa"/>
          <w:right w:w="108" w:type="dxa"/>
        </w:tblCellMar>
      </w:tblPr>
      <w:tblGrid>
        <w:gridCol w:w="1951"/>
        <w:gridCol w:w="284"/>
        <w:gridCol w:w="6662"/>
      </w:tblGrid>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项目编号</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6662" w:type="dxa"/>
            <w:vAlign w:val="center"/>
          </w:tcPr>
          <w:p>
            <w:pPr>
              <w:pStyle w:val="24"/>
              <w:widowControl/>
              <w:adjustRightInd w:val="0"/>
              <w:snapToGrid w:val="0"/>
              <w:spacing w:line="360" w:lineRule="auto"/>
              <w:jc w:val="left"/>
              <w:rPr>
                <w:rFonts w:hint="eastAsia" w:hAnsi="宋体" w:eastAsia="宋体"/>
                <w:b/>
                <w:color w:val="000000" w:themeColor="text1"/>
                <w:sz w:val="28"/>
                <w:szCs w:val="28"/>
                <w:highlight w:val="none"/>
                <w:lang w:eastAsia="zh-CN"/>
              </w:rPr>
            </w:pPr>
            <w:r>
              <w:rPr>
                <w:rFonts w:hint="eastAsia" w:hAnsi="宋体"/>
                <w:b/>
                <w:color w:val="000000" w:themeColor="text1"/>
                <w:sz w:val="28"/>
                <w:szCs w:val="28"/>
                <w:highlight w:val="none"/>
                <w:lang w:eastAsia="zh-CN"/>
              </w:rPr>
              <w:t>YXCG-20220710</w:t>
            </w:r>
          </w:p>
        </w:tc>
      </w:tr>
      <w:tr>
        <w:tblPrEx>
          <w:tblCellMar>
            <w:top w:w="0" w:type="dxa"/>
            <w:left w:w="108" w:type="dxa"/>
            <w:bottom w:w="0" w:type="dxa"/>
            <w:right w:w="108" w:type="dxa"/>
          </w:tblCellMar>
        </w:tblPrEx>
        <w:trPr>
          <w:trHeight w:val="77" w:hRule="atLeast"/>
          <w:jc w:val="center"/>
        </w:trPr>
        <w:tc>
          <w:tcPr>
            <w:tcW w:w="1951" w:type="dxa"/>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项目名称</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6662"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银岭智慧园区安防项目</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采购人</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6662"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阳江市银岭科技新城开发有限公司</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color w:val="000000" w:themeColor="text1"/>
                <w:sz w:val="28"/>
                <w:szCs w:val="28"/>
                <w:highlight w:val="none"/>
              </w:rPr>
              <w:t>采购代理机构</w:t>
            </w:r>
          </w:p>
        </w:tc>
        <w:tc>
          <w:tcPr>
            <w:tcW w:w="284" w:type="dxa"/>
          </w:tcPr>
          <w:p>
            <w:pPr>
              <w:pStyle w:val="24"/>
              <w:widowControl/>
              <w:adjustRightInd w:val="0"/>
              <w:snapToGrid w:val="0"/>
              <w:spacing w:line="360" w:lineRule="auto"/>
              <w:jc w:val="left"/>
              <w:rPr>
                <w:rFonts w:hAnsi="宋体"/>
                <w:b/>
                <w:color w:val="000000" w:themeColor="text1"/>
                <w:sz w:val="28"/>
                <w:szCs w:val="28"/>
                <w:highlight w:val="none"/>
              </w:rPr>
            </w:pPr>
            <w:r>
              <w:rPr>
                <w:rFonts w:hint="eastAsia" w:hAnsi="宋体"/>
                <w:b/>
                <w:color w:val="000000" w:themeColor="text1"/>
                <w:sz w:val="28"/>
                <w:szCs w:val="28"/>
                <w:highlight w:val="none"/>
              </w:rPr>
              <w:t>：</w:t>
            </w:r>
          </w:p>
        </w:tc>
        <w:tc>
          <w:tcPr>
            <w:tcW w:w="6662" w:type="dxa"/>
            <w:vAlign w:val="center"/>
          </w:tcPr>
          <w:p>
            <w:pPr>
              <w:pStyle w:val="24"/>
              <w:widowControl/>
              <w:adjustRightInd w:val="0"/>
              <w:snapToGrid w:val="0"/>
              <w:spacing w:line="360" w:lineRule="auto"/>
              <w:rPr>
                <w:rFonts w:hAnsi="宋体"/>
                <w:b/>
                <w:bCs/>
                <w:color w:val="000000" w:themeColor="text1"/>
                <w:sz w:val="28"/>
                <w:szCs w:val="28"/>
                <w:highlight w:val="none"/>
              </w:rPr>
            </w:pPr>
            <w:r>
              <w:rPr>
                <w:rFonts w:hint="eastAsia" w:hAnsi="宋体"/>
                <w:b/>
                <w:bCs/>
                <w:color w:val="000000" w:themeColor="text1"/>
                <w:sz w:val="28"/>
                <w:szCs w:val="28"/>
                <w:highlight w:val="none"/>
              </w:rPr>
              <w:t>广东业信采购招标有限公司</w:t>
            </w:r>
          </w:p>
        </w:tc>
      </w:tr>
    </w:tbl>
    <w:p>
      <w:pPr>
        <w:pStyle w:val="24"/>
        <w:widowControl/>
        <w:adjustRightInd w:val="0"/>
        <w:snapToGrid w:val="0"/>
        <w:spacing w:line="360" w:lineRule="auto"/>
        <w:jc w:val="center"/>
        <w:rPr>
          <w:rFonts w:ascii="黑体" w:eastAsia="黑体"/>
          <w:bCs/>
          <w:color w:val="000000" w:themeColor="text1"/>
          <w:sz w:val="24"/>
          <w:highlight w:val="none"/>
        </w:rPr>
      </w:pPr>
    </w:p>
    <w:p>
      <w:pPr>
        <w:pStyle w:val="24"/>
        <w:widowControl/>
        <w:adjustRightInd w:val="0"/>
        <w:snapToGrid w:val="0"/>
        <w:spacing w:line="360" w:lineRule="auto"/>
        <w:jc w:val="center"/>
        <w:rPr>
          <w:rFonts w:hAnsi="宋体"/>
          <w:b/>
          <w:color w:val="000000" w:themeColor="text1"/>
          <w:sz w:val="36"/>
          <w:highlight w:val="none"/>
        </w:rPr>
      </w:pPr>
      <w:r>
        <w:rPr>
          <w:rFonts w:hint="eastAsia" w:ascii="黑体" w:eastAsia="黑体"/>
          <w:bCs/>
          <w:color w:val="000000" w:themeColor="text1"/>
          <w:sz w:val="24"/>
          <w:highlight w:val="none"/>
        </w:rPr>
        <w:t>二○</w:t>
      </w:r>
      <w:r>
        <w:rPr>
          <w:rFonts w:hint="eastAsia" w:ascii="黑体" w:eastAsia="黑体"/>
          <w:bCs/>
          <w:color w:val="000000" w:themeColor="text1"/>
          <w:sz w:val="24"/>
          <w:highlight w:val="none"/>
          <w:lang w:val="en-US" w:eastAsia="zh-CN"/>
        </w:rPr>
        <w:t>二二</w:t>
      </w:r>
      <w:r>
        <w:rPr>
          <w:rFonts w:hint="eastAsia" w:ascii="黑体" w:eastAsia="黑体"/>
          <w:bCs/>
          <w:color w:val="000000" w:themeColor="text1"/>
          <w:sz w:val="24"/>
          <w:highlight w:val="none"/>
        </w:rPr>
        <w:t>年</w:t>
      </w:r>
      <w:r>
        <w:rPr>
          <w:rFonts w:hint="eastAsia" w:ascii="黑体" w:eastAsia="黑体"/>
          <w:bCs/>
          <w:color w:val="000000" w:themeColor="text1"/>
          <w:sz w:val="24"/>
          <w:highlight w:val="none"/>
          <w:lang w:val="en-US" w:eastAsia="zh-CN"/>
        </w:rPr>
        <w:t>七</w:t>
      </w:r>
      <w:r>
        <w:rPr>
          <w:rFonts w:hint="eastAsia" w:ascii="黑体" w:eastAsia="黑体"/>
          <w:bCs/>
          <w:color w:val="000000" w:themeColor="text1"/>
          <w:sz w:val="24"/>
          <w:highlight w:val="none"/>
        </w:rPr>
        <w:t>月</w:t>
      </w:r>
    </w:p>
    <w:p>
      <w:pPr>
        <w:spacing w:beforeLines="50" w:afterLines="50" w:line="360" w:lineRule="atLeast"/>
        <w:jc w:val="center"/>
        <w:rPr>
          <w:rFonts w:ascii="宋体" w:hAnsi="宋体"/>
          <w:b/>
          <w:color w:val="000000" w:themeColor="text1"/>
          <w:sz w:val="36"/>
          <w:highlight w:val="none"/>
        </w:rPr>
      </w:pPr>
      <w:r>
        <w:rPr>
          <w:rFonts w:hint="eastAsia" w:ascii="宋体" w:hAnsi="宋体"/>
          <w:b/>
          <w:color w:val="000000" w:themeColor="text1"/>
          <w:sz w:val="36"/>
          <w:highlight w:val="none"/>
        </w:rPr>
        <w:t>温馨提示：特别注意事项</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请供应商特别留意招标文件上注明的投标截止和开标时间，逾期送达或邮寄送达的投标文件</w:t>
      </w:r>
      <w:r>
        <w:rPr>
          <w:rFonts w:hint="eastAsia" w:ascii="宋体" w:hAnsi="宋体"/>
          <w:color w:val="000000" w:themeColor="text1"/>
          <w:szCs w:val="21"/>
          <w:highlight w:val="none"/>
        </w:rPr>
        <w:t>，招标采购单位</w:t>
      </w:r>
      <w:r>
        <w:rPr>
          <w:rFonts w:ascii="宋体" w:hAnsi="宋体"/>
          <w:color w:val="000000" w:themeColor="text1"/>
          <w:szCs w:val="21"/>
          <w:highlight w:val="none"/>
        </w:rPr>
        <w:t>恕不接收。因此，请供应商适当提前到达</w:t>
      </w:r>
      <w:r>
        <w:rPr>
          <w:rFonts w:hint="eastAsia" w:ascii="宋体" w:hAnsi="宋体"/>
          <w:color w:val="000000" w:themeColor="text1"/>
          <w:szCs w:val="21"/>
          <w:highlight w:val="none"/>
        </w:rPr>
        <w:t>开标</w:t>
      </w:r>
      <w:r>
        <w:rPr>
          <w:rFonts w:hint="eastAsia" w:ascii="宋体" w:hAnsi="宋体"/>
          <w:color w:val="000000" w:themeColor="text1"/>
          <w:szCs w:val="21"/>
          <w:highlight w:val="none"/>
          <w:lang w:val="en-US" w:eastAsia="zh-CN"/>
        </w:rPr>
        <w:t>现场</w:t>
      </w:r>
      <w:r>
        <w:rPr>
          <w:rFonts w:ascii="宋体" w:hAnsi="宋体"/>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ascii="宋体" w:hAnsi="宋体"/>
          <w:b/>
          <w:color w:val="000000" w:themeColor="text1"/>
          <w:szCs w:val="21"/>
          <w:highlight w:val="none"/>
          <w:u w:val="single"/>
        </w:rPr>
        <w:t>招标文件中标有“★”的</w:t>
      </w:r>
      <w:r>
        <w:rPr>
          <w:rFonts w:hint="eastAsia" w:ascii="宋体" w:hAnsi="宋体"/>
          <w:b/>
          <w:color w:val="000000" w:themeColor="text1"/>
          <w:szCs w:val="21"/>
          <w:highlight w:val="none"/>
          <w:u w:val="single"/>
        </w:rPr>
        <w:t>条款</w:t>
      </w:r>
      <w:r>
        <w:rPr>
          <w:rFonts w:ascii="宋体" w:hAnsi="宋体"/>
          <w:b/>
          <w:color w:val="000000" w:themeColor="text1"/>
          <w:szCs w:val="21"/>
          <w:highlight w:val="none"/>
          <w:u w:val="single"/>
        </w:rPr>
        <w:t>，</w:t>
      </w:r>
      <w:r>
        <w:rPr>
          <w:rFonts w:hint="eastAsia" w:ascii="宋体" w:hAnsi="宋体"/>
          <w:b/>
          <w:color w:val="000000" w:themeColor="text1"/>
          <w:szCs w:val="21"/>
          <w:highlight w:val="none"/>
          <w:u w:val="single"/>
        </w:rPr>
        <w:t>供应商</w:t>
      </w:r>
      <w:r>
        <w:rPr>
          <w:rFonts w:ascii="宋体" w:hAnsi="宋体"/>
          <w:b/>
          <w:color w:val="000000" w:themeColor="text1"/>
          <w:szCs w:val="21"/>
          <w:highlight w:val="none"/>
          <w:u w:val="single"/>
        </w:rPr>
        <w:t>必须一一响应</w:t>
      </w:r>
      <w:r>
        <w:rPr>
          <w:rFonts w:ascii="宋体" w:hAnsi="宋体"/>
          <w:color w:val="000000" w:themeColor="text1"/>
          <w:szCs w:val="21"/>
          <w:highlight w:val="none"/>
        </w:rPr>
        <w:t>。</w:t>
      </w:r>
      <w:r>
        <w:rPr>
          <w:rFonts w:ascii="宋体" w:hAnsi="宋体"/>
          <w:b/>
          <w:color w:val="000000" w:themeColor="text1"/>
          <w:szCs w:val="21"/>
          <w:highlight w:val="none"/>
          <w:u w:val="single"/>
        </w:rPr>
        <w:t>若有一项带“★”的指标要求未响应或不满足，</w:t>
      </w:r>
      <w:r>
        <w:rPr>
          <w:rFonts w:hint="eastAsia" w:ascii="宋体" w:hAnsi="宋体"/>
          <w:b/>
          <w:color w:val="000000" w:themeColor="text1"/>
          <w:szCs w:val="21"/>
          <w:highlight w:val="none"/>
          <w:u w:val="single"/>
        </w:rPr>
        <w:t>其投标</w:t>
      </w:r>
      <w:r>
        <w:rPr>
          <w:rFonts w:ascii="宋体" w:hAnsi="宋体"/>
          <w:b/>
          <w:color w:val="000000" w:themeColor="text1"/>
          <w:szCs w:val="21"/>
          <w:highlight w:val="none"/>
          <w:u w:val="single"/>
        </w:rPr>
        <w:t>将按无效投标处理。</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请正确填写《开标一览表》，</w:t>
      </w:r>
      <w:r>
        <w:rPr>
          <w:rFonts w:hint="eastAsia" w:ascii="宋体" w:hAnsi="宋体"/>
          <w:color w:val="000000" w:themeColor="text1"/>
          <w:szCs w:val="21"/>
          <w:highlight w:val="none"/>
        </w:rPr>
        <w:t>如</w:t>
      </w:r>
      <w:r>
        <w:rPr>
          <w:rFonts w:ascii="宋体" w:hAnsi="宋体"/>
          <w:color w:val="000000" w:themeColor="text1"/>
          <w:szCs w:val="21"/>
          <w:highlight w:val="none"/>
        </w:rPr>
        <w:t>含有</w:t>
      </w:r>
      <w:r>
        <w:rPr>
          <w:rFonts w:hint="eastAsia" w:ascii="宋体" w:hAnsi="宋体"/>
          <w:color w:val="000000" w:themeColor="text1"/>
          <w:szCs w:val="21"/>
          <w:highlight w:val="none"/>
        </w:rPr>
        <w:t>包组</w:t>
      </w:r>
      <w:r>
        <w:rPr>
          <w:rFonts w:ascii="宋体" w:hAnsi="宋体"/>
          <w:color w:val="000000" w:themeColor="text1"/>
          <w:szCs w:val="21"/>
          <w:highlight w:val="none"/>
        </w:rPr>
        <w:t>的投标项目</w:t>
      </w:r>
      <w:r>
        <w:rPr>
          <w:rFonts w:hint="eastAsia" w:ascii="宋体" w:hAnsi="宋体"/>
          <w:color w:val="000000" w:themeColor="text1"/>
          <w:szCs w:val="21"/>
          <w:highlight w:val="none"/>
        </w:rPr>
        <w:t>建议</w:t>
      </w:r>
      <w:r>
        <w:rPr>
          <w:rFonts w:ascii="宋体" w:hAnsi="宋体"/>
          <w:color w:val="000000" w:themeColor="text1"/>
          <w:szCs w:val="21"/>
          <w:highlight w:val="none"/>
        </w:rPr>
        <w:t>分开报价，</w:t>
      </w:r>
      <w:r>
        <w:rPr>
          <w:rFonts w:hint="eastAsia" w:ascii="宋体" w:hAnsi="宋体"/>
          <w:color w:val="000000" w:themeColor="text1"/>
          <w:szCs w:val="21"/>
          <w:highlight w:val="none"/>
        </w:rPr>
        <w:t>报价要求详见招标文件《开标一览表》</w:t>
      </w:r>
      <w:r>
        <w:rPr>
          <w:rFonts w:ascii="宋体" w:hAnsi="宋体"/>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请仔细检查《投标函》、《开标一览表》、</w:t>
      </w:r>
      <w:r>
        <w:rPr>
          <w:rFonts w:hint="eastAsia" w:ascii="宋体" w:hAnsi="宋体"/>
          <w:color w:val="000000" w:themeColor="text1"/>
          <w:szCs w:val="21"/>
          <w:highlight w:val="none"/>
        </w:rPr>
        <w:t>《法定代表人（负责人）证明书》、</w:t>
      </w:r>
      <w:r>
        <w:rPr>
          <w:rFonts w:ascii="宋体" w:hAnsi="宋体"/>
          <w:color w:val="000000" w:themeColor="text1"/>
          <w:szCs w:val="21"/>
          <w:highlight w:val="none"/>
        </w:rPr>
        <w:t>《</w:t>
      </w:r>
      <w:r>
        <w:rPr>
          <w:rFonts w:hint="eastAsia" w:ascii="宋体" w:hAnsi="宋体"/>
          <w:color w:val="000000" w:themeColor="text1"/>
          <w:szCs w:val="21"/>
          <w:highlight w:val="none"/>
        </w:rPr>
        <w:t>法定代表人（负责人）</w:t>
      </w:r>
      <w:r>
        <w:rPr>
          <w:rFonts w:ascii="宋体" w:hAnsi="宋体"/>
          <w:color w:val="000000" w:themeColor="text1"/>
          <w:szCs w:val="21"/>
          <w:highlight w:val="none"/>
        </w:rPr>
        <w:t>授权书》等重要格式文件是否有按要求盖公章或签名</w:t>
      </w:r>
      <w:r>
        <w:rPr>
          <w:rFonts w:hint="eastAsia" w:ascii="宋体" w:hAnsi="宋体" w:cs="Tahoma"/>
          <w:b/>
          <w:bCs/>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建议将投标文件按</w:t>
      </w:r>
      <w:r>
        <w:rPr>
          <w:rFonts w:hint="eastAsia" w:ascii="宋体" w:hAnsi="宋体"/>
          <w:color w:val="000000" w:themeColor="text1"/>
          <w:szCs w:val="21"/>
          <w:highlight w:val="none"/>
        </w:rPr>
        <w:t>目录格式</w:t>
      </w:r>
      <w:r>
        <w:rPr>
          <w:rFonts w:ascii="宋体" w:hAnsi="宋体"/>
          <w:color w:val="000000" w:themeColor="text1"/>
          <w:szCs w:val="21"/>
          <w:highlight w:val="none"/>
        </w:rPr>
        <w:t>顺序编制页码。</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b/>
          <w:color w:val="000000" w:themeColor="text1"/>
          <w:szCs w:val="21"/>
          <w:highlight w:val="none"/>
        </w:rPr>
        <w:t>投标人请注意区分投标保证金及招标代理服务费收款</w:t>
      </w:r>
      <w:r>
        <w:rPr>
          <w:rFonts w:hint="eastAsia" w:ascii="宋体" w:hAnsi="宋体"/>
          <w:b/>
          <w:color w:val="000000" w:themeColor="text1"/>
          <w:highlight w:val="none"/>
        </w:rPr>
        <w:t>账号</w:t>
      </w:r>
      <w:r>
        <w:rPr>
          <w:rFonts w:hint="eastAsia" w:ascii="宋体" w:hAnsi="宋体"/>
          <w:b/>
          <w:color w:val="000000" w:themeColor="text1"/>
          <w:szCs w:val="21"/>
          <w:highlight w:val="none"/>
        </w:rPr>
        <w:t>的区别</w:t>
      </w:r>
      <w:r>
        <w:rPr>
          <w:rFonts w:hint="eastAsia" w:ascii="宋体" w:hAnsi="宋体"/>
          <w:color w:val="000000" w:themeColor="text1"/>
          <w:szCs w:val="21"/>
          <w:highlight w:val="none"/>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rPr>
      </w:pPr>
      <w:r>
        <w:rPr>
          <w:rFonts w:hint="eastAsia" w:ascii="宋体" w:hAnsi="宋体"/>
          <w:color w:val="000000" w:themeColor="text1"/>
          <w:szCs w:val="21"/>
          <w:highlight w:val="none"/>
        </w:rPr>
        <w:t>我司</w:t>
      </w:r>
      <w:r>
        <w:rPr>
          <w:rFonts w:ascii="宋体" w:hAnsi="宋体"/>
          <w:color w:val="000000" w:themeColor="text1"/>
          <w:szCs w:val="21"/>
          <w:highlight w:val="none"/>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rPr>
        <w:t>不同</w:t>
      </w:r>
      <w:r>
        <w:rPr>
          <w:rFonts w:ascii="宋体" w:hAnsi="宋体"/>
          <w:color w:val="000000" w:themeColor="text1"/>
          <w:szCs w:val="21"/>
          <w:highlight w:val="none"/>
        </w:rPr>
        <w:t>投标</w:t>
      </w:r>
      <w:r>
        <w:rPr>
          <w:rFonts w:hint="eastAsia" w:ascii="宋体" w:hAnsi="宋体"/>
          <w:color w:val="000000" w:themeColor="text1"/>
          <w:szCs w:val="21"/>
          <w:highlight w:val="none"/>
        </w:rPr>
        <w:t>方案</w:t>
      </w:r>
      <w:r>
        <w:rPr>
          <w:rFonts w:ascii="宋体" w:hAnsi="宋体"/>
          <w:color w:val="000000" w:themeColor="text1"/>
          <w:szCs w:val="21"/>
          <w:highlight w:val="none"/>
        </w:rPr>
        <w:t>的，</w:t>
      </w:r>
      <w:r>
        <w:rPr>
          <w:rFonts w:hint="eastAsia" w:ascii="宋体" w:hAnsi="宋体"/>
          <w:color w:val="000000" w:themeColor="text1"/>
          <w:szCs w:val="21"/>
          <w:highlight w:val="none"/>
        </w:rPr>
        <w:t>评标委员会</w:t>
      </w:r>
      <w:r>
        <w:rPr>
          <w:rFonts w:ascii="宋体" w:hAnsi="宋体"/>
          <w:color w:val="000000" w:themeColor="text1"/>
          <w:szCs w:val="21"/>
          <w:highlight w:val="none"/>
        </w:rPr>
        <w:t>将</w:t>
      </w:r>
      <w:r>
        <w:rPr>
          <w:rFonts w:hint="eastAsia" w:ascii="宋体" w:hAnsi="宋体"/>
          <w:color w:val="000000" w:themeColor="text1"/>
          <w:szCs w:val="21"/>
          <w:highlight w:val="none"/>
        </w:rPr>
        <w:t>对其投标</w:t>
      </w:r>
      <w:r>
        <w:rPr>
          <w:rFonts w:ascii="宋体" w:hAnsi="宋体"/>
          <w:color w:val="000000" w:themeColor="text1"/>
          <w:szCs w:val="21"/>
          <w:highlight w:val="none"/>
        </w:rPr>
        <w:t>按无效投标处理</w:t>
      </w:r>
      <w:r>
        <w:rPr>
          <w:rFonts w:hint="eastAsia" w:ascii="宋体" w:hAnsi="宋体"/>
          <w:color w:val="000000" w:themeColor="text1"/>
          <w:szCs w:val="21"/>
          <w:highlight w:val="none"/>
        </w:rPr>
        <w:t>（如有特殊要求的除外）。</w:t>
      </w:r>
    </w:p>
    <w:p>
      <w:pPr>
        <w:pStyle w:val="24"/>
        <w:widowControl/>
        <w:adjustRightInd w:val="0"/>
        <w:snapToGrid w:val="0"/>
        <w:spacing w:line="440" w:lineRule="exact"/>
        <w:ind w:firstLine="413" w:firstLineChars="196"/>
        <w:rPr>
          <w:rFonts w:ascii="黑体" w:eastAsia="黑体"/>
          <w:bCs/>
          <w:color w:val="000000" w:themeColor="text1"/>
          <w:sz w:val="30"/>
          <w:szCs w:val="30"/>
          <w:highlight w:val="none"/>
        </w:rPr>
      </w:pPr>
      <w:r>
        <w:rPr>
          <w:rFonts w:hint="eastAsia" w:hAnsi="宋体" w:cs="仿宋_GB2312"/>
          <w:b/>
          <w:bCs/>
          <w:color w:val="000000" w:themeColor="text1"/>
          <w:highlight w:val="none"/>
          <w:lang w:val="zh-CN"/>
        </w:rPr>
        <w:t>（本提示内容非招标文件的组成部分，仅为善意提醒。如有不一致，以招标文件为准）</w:t>
      </w:r>
    </w:p>
    <w:p>
      <w:pPr>
        <w:pStyle w:val="24"/>
        <w:widowControl/>
        <w:adjustRightInd w:val="0"/>
        <w:snapToGrid w:val="0"/>
        <w:spacing w:line="360" w:lineRule="auto"/>
        <w:jc w:val="center"/>
        <w:rPr>
          <w:rFonts w:ascii="黑体" w:eastAsia="黑体"/>
          <w:bCs/>
          <w:color w:val="000000" w:themeColor="text1"/>
          <w:sz w:val="30"/>
          <w:szCs w:val="30"/>
          <w:highlight w:val="none"/>
        </w:rPr>
        <w:sectPr>
          <w:headerReference r:id="rId3" w:type="default"/>
          <w:footerReference r:id="rId4" w:type="default"/>
          <w:footerReference r:id="rId5" w:type="even"/>
          <w:type w:val="continuous"/>
          <w:pgSz w:w="11906" w:h="16838"/>
          <w:pgMar w:top="1474" w:right="1418" w:bottom="1474" w:left="1418" w:header="851" w:footer="851" w:gutter="0"/>
          <w:cols w:space="720" w:num="1"/>
          <w:titlePg/>
          <w:docGrid w:linePitch="380" w:charSpace="-5735"/>
        </w:sectPr>
      </w:pPr>
    </w:p>
    <w:p>
      <w:pPr>
        <w:tabs>
          <w:tab w:val="left" w:pos="2400"/>
          <w:tab w:val="center" w:pos="4479"/>
        </w:tabs>
        <w:jc w:val="left"/>
        <w:rPr>
          <w:rFonts w:ascii="宋体" w:hAnsi="宋体"/>
          <w:bCs/>
          <w:color w:val="000000" w:themeColor="text1"/>
          <w:szCs w:val="21"/>
          <w:highlight w:val="none"/>
        </w:rPr>
      </w:pPr>
      <w:r>
        <w:rPr>
          <w:rFonts w:ascii="宋体" w:hAnsi="宋体"/>
          <w:bCs/>
          <w:color w:val="000000" w:themeColor="text1"/>
          <w:szCs w:val="21"/>
          <w:highlight w:val="none"/>
        </w:rPr>
        <w:tab/>
      </w:r>
      <w:r>
        <w:rPr>
          <w:rFonts w:ascii="宋体" w:hAnsi="宋体"/>
          <w:bCs/>
          <w:color w:val="000000" w:themeColor="text1"/>
          <w:szCs w:val="21"/>
          <w:highlight w:val="none"/>
        </w:rPr>
        <w:tab/>
      </w: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center"/>
        <w:rPr>
          <w:rFonts w:ascii="宋体" w:hAnsi="宋体"/>
          <w:b/>
          <w:bCs/>
          <w:color w:val="000000" w:themeColor="text1"/>
          <w:sz w:val="32"/>
          <w:szCs w:val="32"/>
          <w:highlight w:val="none"/>
        </w:rPr>
      </w:pPr>
      <w:r>
        <w:rPr>
          <w:rFonts w:hint="eastAsia" w:ascii="宋体" w:hAnsi="宋体"/>
          <w:b/>
          <w:bCs/>
          <w:color w:val="000000" w:themeColor="text1"/>
          <w:sz w:val="32"/>
          <w:szCs w:val="32"/>
          <w:highlight w:val="none"/>
        </w:rPr>
        <w:t>目   录</w:t>
      </w:r>
    </w:p>
    <w:p>
      <w:pPr>
        <w:pStyle w:val="3"/>
        <w:numPr>
          <w:ilvl w:val="0"/>
          <w:numId w:val="0"/>
        </w:numPr>
        <w:spacing w:beforeLines="0" w:line="240" w:lineRule="auto"/>
        <w:rPr>
          <w:color w:val="000000" w:themeColor="text1"/>
          <w:highlight w:val="none"/>
        </w:rPr>
      </w:pPr>
    </w:p>
    <w:p>
      <w:pPr>
        <w:pStyle w:val="31"/>
        <w:tabs>
          <w:tab w:val="right" w:leader="dot" w:pos="9070"/>
          <w:tab w:val="clear" w:pos="8949"/>
        </w:tabs>
      </w:pPr>
      <w:r>
        <w:rPr>
          <w:b w:val="0"/>
          <w:bCs w:val="0"/>
          <w:caps w:val="0"/>
          <w:color w:val="000000" w:themeColor="text1"/>
          <w:highlight w:val="none"/>
        </w:rPr>
        <w:fldChar w:fldCharType="begin"/>
      </w:r>
      <w:r>
        <w:rPr>
          <w:b w:val="0"/>
          <w:bCs w:val="0"/>
          <w:caps w:val="0"/>
          <w:color w:val="000000" w:themeColor="text1"/>
          <w:highlight w:val="none"/>
        </w:rPr>
        <w:instrText xml:space="preserve"> TOC \o "1-3" \h \z \u </w:instrText>
      </w:r>
      <w:r>
        <w:rPr>
          <w:b w:val="0"/>
          <w:bCs w:val="0"/>
          <w:caps w:val="0"/>
          <w:color w:val="000000" w:themeColor="text1"/>
          <w:highlight w:val="none"/>
        </w:rPr>
        <w:fldChar w:fldCharType="separate"/>
      </w:r>
      <w:r>
        <w:rPr>
          <w:bCs w:val="0"/>
          <w:caps w:val="0"/>
          <w:color w:val="000000" w:themeColor="text1"/>
          <w:highlight w:val="none"/>
        </w:rPr>
        <w:fldChar w:fldCharType="begin"/>
      </w:r>
      <w:r>
        <w:rPr>
          <w:bCs w:val="0"/>
          <w:caps w:val="0"/>
          <w:highlight w:val="none"/>
        </w:rPr>
        <w:instrText xml:space="preserve"> HYPERLINK \l _Toc21642 </w:instrText>
      </w:r>
      <w:r>
        <w:rPr>
          <w:bCs w:val="0"/>
          <w:caps w:val="0"/>
          <w:highlight w:val="none"/>
        </w:rPr>
        <w:fldChar w:fldCharType="separate"/>
      </w:r>
      <w:r>
        <w:rPr>
          <w:rFonts w:hint="eastAsia"/>
          <w:highlight w:val="none"/>
        </w:rPr>
        <w:t>第一部分 投标邀请函</w:t>
      </w:r>
      <w:r>
        <w:tab/>
      </w:r>
      <w:r>
        <w:fldChar w:fldCharType="begin"/>
      </w:r>
      <w:r>
        <w:instrText xml:space="preserve"> PAGEREF _Toc21642 \h </w:instrText>
      </w:r>
      <w:r>
        <w:fldChar w:fldCharType="separate"/>
      </w:r>
      <w:r>
        <w:t>5</w:t>
      </w:r>
      <w:r>
        <w:fldChar w:fldCharType="end"/>
      </w:r>
      <w:r>
        <w:rPr>
          <w:bCs w:val="0"/>
          <w:caps w:val="0"/>
          <w:color w:val="000000" w:themeColor="text1"/>
          <w:highlight w:val="none"/>
        </w:rPr>
        <w:fldChar w:fldCharType="end"/>
      </w:r>
    </w:p>
    <w:p>
      <w:pPr>
        <w:pStyle w:val="31"/>
        <w:tabs>
          <w:tab w:val="right" w:leader="dot" w:pos="9070"/>
          <w:tab w:val="clear" w:pos="8949"/>
        </w:tabs>
      </w:pPr>
      <w:r>
        <w:rPr>
          <w:bCs/>
          <w:caps/>
          <w:color w:val="000000" w:themeColor="text1"/>
          <w:szCs w:val="21"/>
          <w:highlight w:val="none"/>
        </w:rPr>
        <w:fldChar w:fldCharType="begin"/>
      </w:r>
      <w:r>
        <w:rPr>
          <w:bCs/>
          <w:caps/>
          <w:szCs w:val="21"/>
          <w:highlight w:val="none"/>
        </w:rPr>
        <w:instrText xml:space="preserve"> HYPERLINK \l _Toc18232 </w:instrText>
      </w:r>
      <w:r>
        <w:rPr>
          <w:bCs/>
          <w:caps/>
          <w:szCs w:val="21"/>
          <w:highlight w:val="none"/>
        </w:rPr>
        <w:fldChar w:fldCharType="separate"/>
      </w:r>
      <w:r>
        <w:rPr>
          <w:rFonts w:hint="eastAsia"/>
          <w:highlight w:val="none"/>
        </w:rPr>
        <w:t>第二部分 采购项目内容</w:t>
      </w:r>
      <w:r>
        <w:tab/>
      </w:r>
      <w:r>
        <w:fldChar w:fldCharType="begin"/>
      </w:r>
      <w:r>
        <w:instrText xml:space="preserve"> PAGEREF _Toc18232 \h </w:instrText>
      </w:r>
      <w:r>
        <w:fldChar w:fldCharType="separate"/>
      </w:r>
      <w:r>
        <w:t>8</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_Toc367 </w:instrText>
      </w:r>
      <w:r>
        <w:rPr>
          <w:bCs/>
          <w:caps/>
          <w:szCs w:val="21"/>
          <w:highlight w:val="none"/>
        </w:rPr>
        <w:fldChar w:fldCharType="separate"/>
      </w:r>
      <w:r>
        <w:rPr>
          <w:kern w:val="0"/>
          <w:highlight w:val="none"/>
        </w:rPr>
        <w:t xml:space="preserve">A  </w:t>
      </w:r>
      <w:r>
        <w:rPr>
          <w:rFonts w:hint="eastAsia"/>
          <w:kern w:val="0"/>
          <w:highlight w:val="none"/>
        </w:rPr>
        <w:t>商务要求</w:t>
      </w:r>
      <w:r>
        <w:tab/>
      </w:r>
      <w:r>
        <w:fldChar w:fldCharType="begin"/>
      </w:r>
      <w:r>
        <w:instrText xml:space="preserve"> PAGEREF _Toc367 \h </w:instrText>
      </w:r>
      <w:r>
        <w:fldChar w:fldCharType="separate"/>
      </w:r>
      <w:r>
        <w:t>8</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_Toc11249 </w:instrText>
      </w:r>
      <w:r>
        <w:rPr>
          <w:bCs/>
          <w:caps/>
          <w:szCs w:val="21"/>
          <w:highlight w:val="none"/>
        </w:rPr>
        <w:fldChar w:fldCharType="separate"/>
      </w:r>
      <w:r>
        <w:rPr>
          <w:rFonts w:hint="eastAsia"/>
          <w:kern w:val="0"/>
          <w:highlight w:val="none"/>
        </w:rPr>
        <w:t>B  技术要求</w:t>
      </w:r>
      <w:r>
        <w:tab/>
      </w:r>
      <w:r>
        <w:fldChar w:fldCharType="begin"/>
      </w:r>
      <w:r>
        <w:instrText xml:space="preserve"> PAGEREF _Toc11249 \h </w:instrText>
      </w:r>
      <w:r>
        <w:fldChar w:fldCharType="separate"/>
      </w:r>
      <w:r>
        <w:t>10</w:t>
      </w:r>
      <w:r>
        <w:fldChar w:fldCharType="end"/>
      </w:r>
      <w:r>
        <w:rPr>
          <w:bCs/>
          <w:caps/>
          <w:color w:val="000000" w:themeColor="text1"/>
          <w:szCs w:val="21"/>
          <w:highlight w:val="none"/>
        </w:rPr>
        <w:fldChar w:fldCharType="end"/>
      </w:r>
    </w:p>
    <w:p>
      <w:pPr>
        <w:pStyle w:val="31"/>
        <w:tabs>
          <w:tab w:val="right" w:leader="dot" w:pos="9070"/>
          <w:tab w:val="clear" w:pos="8949"/>
        </w:tabs>
      </w:pPr>
      <w:r>
        <w:rPr>
          <w:bCs/>
          <w:caps/>
          <w:color w:val="000000" w:themeColor="text1"/>
          <w:szCs w:val="21"/>
          <w:highlight w:val="none"/>
        </w:rPr>
        <w:fldChar w:fldCharType="begin"/>
      </w:r>
      <w:r>
        <w:rPr>
          <w:bCs/>
          <w:caps/>
          <w:szCs w:val="21"/>
          <w:highlight w:val="none"/>
        </w:rPr>
        <w:instrText xml:space="preserve"> HYPERLINK \l _Toc12583 </w:instrText>
      </w:r>
      <w:r>
        <w:rPr>
          <w:bCs/>
          <w:caps/>
          <w:szCs w:val="21"/>
          <w:highlight w:val="none"/>
        </w:rPr>
        <w:fldChar w:fldCharType="separate"/>
      </w:r>
      <w:r>
        <w:rPr>
          <w:rFonts w:hint="eastAsia"/>
          <w:highlight w:val="none"/>
        </w:rPr>
        <w:t>第三部分 投标人须知</w:t>
      </w:r>
      <w:r>
        <w:tab/>
      </w:r>
      <w:r>
        <w:fldChar w:fldCharType="begin"/>
      </w:r>
      <w:r>
        <w:instrText xml:space="preserve"> PAGEREF _Toc12583 \h </w:instrText>
      </w:r>
      <w:r>
        <w:fldChar w:fldCharType="separate"/>
      </w:r>
      <w:r>
        <w:t>34</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_Toc8895 </w:instrText>
      </w:r>
      <w:r>
        <w:rPr>
          <w:bCs/>
          <w:caps/>
          <w:szCs w:val="21"/>
          <w:highlight w:val="none"/>
        </w:rPr>
        <w:fldChar w:fldCharType="separate"/>
      </w:r>
      <w:r>
        <w:rPr>
          <w:rFonts w:hint="eastAsia"/>
          <w:szCs w:val="21"/>
          <w:highlight w:val="none"/>
        </w:rPr>
        <w:t>投标人须知前附表</w:t>
      </w:r>
      <w:r>
        <w:tab/>
      </w:r>
      <w:r>
        <w:fldChar w:fldCharType="begin"/>
      </w:r>
      <w:r>
        <w:instrText xml:space="preserve"> PAGEREF _Toc8895 \h </w:instrText>
      </w:r>
      <w:r>
        <w:fldChar w:fldCharType="separate"/>
      </w:r>
      <w:r>
        <w:t>34</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_Toc23550 </w:instrText>
      </w:r>
      <w:r>
        <w:rPr>
          <w:bCs/>
          <w:caps/>
          <w:szCs w:val="21"/>
          <w:highlight w:val="none"/>
        </w:rPr>
        <w:fldChar w:fldCharType="separate"/>
      </w:r>
      <w:r>
        <w:rPr>
          <w:rFonts w:hint="eastAsia"/>
          <w:highlight w:val="none"/>
        </w:rPr>
        <w:t>Ａ</w:t>
      </w:r>
      <w:r>
        <w:rPr>
          <w:highlight w:val="none"/>
        </w:rPr>
        <w:t xml:space="preserve">  </w:t>
      </w:r>
      <w:r>
        <w:rPr>
          <w:rFonts w:hint="eastAsia"/>
          <w:highlight w:val="none"/>
        </w:rPr>
        <w:t>说</w:t>
      </w:r>
      <w:r>
        <w:rPr>
          <w:highlight w:val="none"/>
        </w:rPr>
        <w:t xml:space="preserve">  </w:t>
      </w:r>
      <w:r>
        <w:rPr>
          <w:rFonts w:hint="eastAsia"/>
          <w:highlight w:val="none"/>
        </w:rPr>
        <w:t>明</w:t>
      </w:r>
      <w:r>
        <w:tab/>
      </w:r>
      <w:r>
        <w:fldChar w:fldCharType="begin"/>
      </w:r>
      <w:r>
        <w:instrText xml:space="preserve"> PAGEREF _Toc23550 \h </w:instrText>
      </w:r>
      <w:r>
        <w:fldChar w:fldCharType="separate"/>
      </w:r>
      <w:r>
        <w:t>35</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_Toc4381 </w:instrText>
      </w:r>
      <w:r>
        <w:rPr>
          <w:bCs/>
          <w:caps/>
          <w:szCs w:val="21"/>
          <w:highlight w:val="none"/>
        </w:rPr>
        <w:fldChar w:fldCharType="separate"/>
      </w:r>
      <w:r>
        <w:rPr>
          <w:rFonts w:hint="default"/>
        </w:rPr>
        <w:t xml:space="preserve">1 </w:t>
      </w:r>
      <w:r>
        <w:rPr>
          <w:rFonts w:hint="eastAsia"/>
          <w:highlight w:val="none"/>
        </w:rPr>
        <w:t>适用范围和资金来源</w:t>
      </w:r>
      <w:r>
        <w:tab/>
      </w:r>
      <w:r>
        <w:fldChar w:fldCharType="begin"/>
      </w:r>
      <w:r>
        <w:instrText xml:space="preserve"> PAGEREF _Toc4381 \h </w:instrText>
      </w:r>
      <w:r>
        <w:fldChar w:fldCharType="separate"/>
      </w:r>
      <w:r>
        <w:t>35</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_Toc28246 </w:instrText>
      </w:r>
      <w:r>
        <w:rPr>
          <w:bCs/>
          <w:caps/>
          <w:szCs w:val="21"/>
          <w:highlight w:val="none"/>
        </w:rPr>
        <w:fldChar w:fldCharType="separate"/>
      </w:r>
      <w:r>
        <w:rPr>
          <w:rFonts w:hint="default"/>
        </w:rPr>
        <w:t xml:space="preserve">2 </w:t>
      </w:r>
      <w:r>
        <w:rPr>
          <w:rFonts w:hint="eastAsia"/>
          <w:highlight w:val="none"/>
        </w:rPr>
        <w:t>定义</w:t>
      </w:r>
      <w:r>
        <w:tab/>
      </w:r>
      <w:r>
        <w:fldChar w:fldCharType="begin"/>
      </w:r>
      <w:r>
        <w:instrText xml:space="preserve"> PAGEREF _Toc28246 \h </w:instrText>
      </w:r>
      <w:r>
        <w:fldChar w:fldCharType="separate"/>
      </w:r>
      <w:r>
        <w:t>35</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_Toc17243 </w:instrText>
      </w:r>
      <w:r>
        <w:rPr>
          <w:bCs/>
          <w:caps/>
          <w:szCs w:val="21"/>
          <w:highlight w:val="none"/>
        </w:rPr>
        <w:fldChar w:fldCharType="separate"/>
      </w:r>
      <w:r>
        <w:rPr>
          <w:rFonts w:hint="default"/>
        </w:rPr>
        <w:t xml:space="preserve">3 </w:t>
      </w:r>
      <w:r>
        <w:rPr>
          <w:rFonts w:hint="eastAsia"/>
          <w:highlight w:val="none"/>
        </w:rPr>
        <w:t>合格的投标人</w:t>
      </w:r>
      <w:r>
        <w:tab/>
      </w:r>
      <w:r>
        <w:fldChar w:fldCharType="begin"/>
      </w:r>
      <w:r>
        <w:instrText xml:space="preserve"> PAGEREF _Toc17243 \h </w:instrText>
      </w:r>
      <w:r>
        <w:fldChar w:fldCharType="separate"/>
      </w:r>
      <w:r>
        <w:t>35</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_Toc5874 </w:instrText>
      </w:r>
      <w:r>
        <w:rPr>
          <w:bCs/>
          <w:caps/>
          <w:szCs w:val="21"/>
          <w:highlight w:val="none"/>
        </w:rPr>
        <w:fldChar w:fldCharType="separate"/>
      </w:r>
      <w:r>
        <w:rPr>
          <w:rFonts w:hint="default"/>
        </w:rPr>
        <w:t xml:space="preserve">4 </w:t>
      </w:r>
      <w:r>
        <w:rPr>
          <w:rFonts w:hint="eastAsia"/>
          <w:highlight w:val="none"/>
        </w:rPr>
        <w:t>投标费用</w:t>
      </w:r>
      <w:r>
        <w:tab/>
      </w:r>
      <w:r>
        <w:fldChar w:fldCharType="begin"/>
      </w:r>
      <w:r>
        <w:instrText xml:space="preserve"> PAGEREF _Toc5874 \h </w:instrText>
      </w:r>
      <w:r>
        <w:fldChar w:fldCharType="separate"/>
      </w:r>
      <w:r>
        <w:t>35</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_Toc6702 </w:instrText>
      </w:r>
      <w:r>
        <w:rPr>
          <w:bCs/>
          <w:caps/>
          <w:szCs w:val="21"/>
          <w:highlight w:val="none"/>
        </w:rPr>
        <w:fldChar w:fldCharType="separate"/>
      </w:r>
      <w:r>
        <w:rPr>
          <w:rFonts w:hint="eastAsia"/>
          <w:highlight w:val="none"/>
        </w:rPr>
        <w:t>Ｂ</w:t>
      </w:r>
      <w:r>
        <w:rPr>
          <w:highlight w:val="none"/>
        </w:rPr>
        <w:t xml:space="preserve">  </w:t>
      </w:r>
      <w:r>
        <w:rPr>
          <w:rFonts w:hint="eastAsia"/>
          <w:highlight w:val="none"/>
        </w:rPr>
        <w:t>招标文件说明</w:t>
      </w:r>
      <w:r>
        <w:tab/>
      </w:r>
      <w:r>
        <w:fldChar w:fldCharType="begin"/>
      </w:r>
      <w:r>
        <w:instrText xml:space="preserve"> PAGEREF _Toc6702 \h </w:instrText>
      </w:r>
      <w:r>
        <w:fldChar w:fldCharType="separate"/>
      </w:r>
      <w:r>
        <w:t>36</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_Toc29859 </w:instrText>
      </w:r>
      <w:r>
        <w:rPr>
          <w:bCs/>
          <w:caps/>
          <w:szCs w:val="21"/>
          <w:highlight w:val="none"/>
        </w:rPr>
        <w:fldChar w:fldCharType="separate"/>
      </w:r>
      <w:r>
        <w:rPr>
          <w:rFonts w:hint="default"/>
        </w:rPr>
        <w:t xml:space="preserve">5 </w:t>
      </w:r>
      <w:r>
        <w:rPr>
          <w:rFonts w:hint="eastAsia"/>
          <w:highlight w:val="none"/>
        </w:rPr>
        <w:t>招标文件的构成</w:t>
      </w:r>
      <w:r>
        <w:tab/>
      </w:r>
      <w:r>
        <w:fldChar w:fldCharType="begin"/>
      </w:r>
      <w:r>
        <w:instrText xml:space="preserve"> PAGEREF _Toc29859 \h </w:instrText>
      </w:r>
      <w:r>
        <w:fldChar w:fldCharType="separate"/>
      </w:r>
      <w:r>
        <w:t>36</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_Toc24116 </w:instrText>
      </w:r>
      <w:r>
        <w:rPr>
          <w:bCs/>
          <w:caps/>
          <w:szCs w:val="21"/>
          <w:highlight w:val="none"/>
        </w:rPr>
        <w:fldChar w:fldCharType="separate"/>
      </w:r>
      <w:r>
        <w:rPr>
          <w:rFonts w:hint="default"/>
        </w:rPr>
        <w:t xml:space="preserve">6 </w:t>
      </w:r>
      <w:r>
        <w:rPr>
          <w:rFonts w:hint="eastAsia"/>
          <w:highlight w:val="none"/>
        </w:rPr>
        <w:t>招标文件的澄清、修改</w:t>
      </w:r>
      <w:r>
        <w:tab/>
      </w:r>
      <w:r>
        <w:fldChar w:fldCharType="begin"/>
      </w:r>
      <w:r>
        <w:instrText xml:space="preserve"> PAGEREF _Toc24116 \h </w:instrText>
      </w:r>
      <w:r>
        <w:fldChar w:fldCharType="separate"/>
      </w:r>
      <w:r>
        <w:t>36</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_Toc1634 </w:instrText>
      </w:r>
      <w:r>
        <w:rPr>
          <w:bCs/>
          <w:caps/>
          <w:szCs w:val="21"/>
          <w:highlight w:val="none"/>
        </w:rPr>
        <w:fldChar w:fldCharType="separate"/>
      </w:r>
      <w:r>
        <w:rPr>
          <w:rFonts w:hint="eastAsia"/>
          <w:highlight w:val="none"/>
        </w:rPr>
        <w:t>Ｃ</w:t>
      </w:r>
      <w:r>
        <w:rPr>
          <w:highlight w:val="none"/>
        </w:rPr>
        <w:t xml:space="preserve">  </w:t>
      </w:r>
      <w:r>
        <w:rPr>
          <w:rFonts w:hint="eastAsia"/>
          <w:highlight w:val="none"/>
        </w:rPr>
        <w:t>投标文件的编制</w:t>
      </w:r>
      <w:r>
        <w:tab/>
      </w:r>
      <w:r>
        <w:fldChar w:fldCharType="begin"/>
      </w:r>
      <w:r>
        <w:instrText xml:space="preserve"> PAGEREF _Toc1634 \h </w:instrText>
      </w:r>
      <w:r>
        <w:fldChar w:fldCharType="separate"/>
      </w:r>
      <w:r>
        <w:t>37</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_Toc12328 </w:instrText>
      </w:r>
      <w:r>
        <w:rPr>
          <w:bCs/>
          <w:caps/>
          <w:szCs w:val="21"/>
          <w:highlight w:val="none"/>
        </w:rPr>
        <w:fldChar w:fldCharType="separate"/>
      </w:r>
      <w:r>
        <w:rPr>
          <w:rFonts w:hint="default"/>
        </w:rPr>
        <w:t xml:space="preserve">7 </w:t>
      </w:r>
      <w:r>
        <w:rPr>
          <w:rFonts w:hint="eastAsia"/>
          <w:highlight w:val="none"/>
        </w:rPr>
        <w:t>要求</w:t>
      </w:r>
      <w:r>
        <w:tab/>
      </w:r>
      <w:r>
        <w:fldChar w:fldCharType="begin"/>
      </w:r>
      <w:r>
        <w:instrText xml:space="preserve"> PAGEREF _Toc12328 \h </w:instrText>
      </w:r>
      <w:r>
        <w:fldChar w:fldCharType="separate"/>
      </w:r>
      <w:r>
        <w:t>37</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_Toc6417 </w:instrText>
      </w:r>
      <w:r>
        <w:rPr>
          <w:bCs/>
          <w:caps/>
          <w:szCs w:val="21"/>
          <w:highlight w:val="none"/>
        </w:rPr>
        <w:fldChar w:fldCharType="separate"/>
      </w:r>
      <w:r>
        <w:rPr>
          <w:rFonts w:hint="default"/>
        </w:rPr>
        <w:t xml:space="preserve">8 </w:t>
      </w:r>
      <w:r>
        <w:rPr>
          <w:rFonts w:hint="eastAsia"/>
          <w:highlight w:val="none"/>
        </w:rPr>
        <w:t>投标语言及计量单位</w:t>
      </w:r>
      <w:r>
        <w:tab/>
      </w:r>
      <w:r>
        <w:fldChar w:fldCharType="begin"/>
      </w:r>
      <w:r>
        <w:instrText xml:space="preserve"> PAGEREF _Toc6417 \h </w:instrText>
      </w:r>
      <w:r>
        <w:fldChar w:fldCharType="separate"/>
      </w:r>
      <w:r>
        <w:t>37</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_Toc1045 </w:instrText>
      </w:r>
      <w:r>
        <w:rPr>
          <w:bCs/>
          <w:caps/>
          <w:szCs w:val="21"/>
          <w:highlight w:val="none"/>
        </w:rPr>
        <w:fldChar w:fldCharType="separate"/>
      </w:r>
      <w:r>
        <w:rPr>
          <w:rFonts w:hint="default"/>
        </w:rPr>
        <w:t xml:space="preserve">9 </w:t>
      </w:r>
      <w:r>
        <w:rPr>
          <w:rFonts w:hint="eastAsia"/>
          <w:highlight w:val="none"/>
        </w:rPr>
        <w:t>投标文件的构成</w:t>
      </w:r>
      <w:r>
        <w:tab/>
      </w:r>
      <w:r>
        <w:fldChar w:fldCharType="begin"/>
      </w:r>
      <w:r>
        <w:instrText xml:space="preserve"> PAGEREF _Toc1045 \h </w:instrText>
      </w:r>
      <w:r>
        <w:fldChar w:fldCharType="separate"/>
      </w:r>
      <w:r>
        <w:t>37</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_Toc2175 </w:instrText>
      </w:r>
      <w:r>
        <w:rPr>
          <w:bCs/>
          <w:caps/>
          <w:szCs w:val="21"/>
          <w:highlight w:val="none"/>
        </w:rPr>
        <w:fldChar w:fldCharType="separate"/>
      </w:r>
      <w:r>
        <w:rPr>
          <w:rFonts w:hint="default"/>
        </w:rPr>
        <w:t xml:space="preserve">10 </w:t>
      </w:r>
      <w:r>
        <w:rPr>
          <w:rFonts w:hint="eastAsia"/>
          <w:highlight w:val="none"/>
        </w:rPr>
        <w:t>投标文件格式</w:t>
      </w:r>
      <w:r>
        <w:tab/>
      </w:r>
      <w:r>
        <w:fldChar w:fldCharType="begin"/>
      </w:r>
      <w:r>
        <w:instrText xml:space="preserve"> PAGEREF _Toc2175 \h </w:instrText>
      </w:r>
      <w:r>
        <w:fldChar w:fldCharType="separate"/>
      </w:r>
      <w:r>
        <w:t>37</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_Toc18126 </w:instrText>
      </w:r>
      <w:r>
        <w:rPr>
          <w:bCs/>
          <w:caps/>
          <w:szCs w:val="21"/>
          <w:highlight w:val="none"/>
        </w:rPr>
        <w:fldChar w:fldCharType="separate"/>
      </w:r>
      <w:r>
        <w:rPr>
          <w:rFonts w:hint="default"/>
        </w:rPr>
        <w:t xml:space="preserve">11 </w:t>
      </w:r>
      <w:r>
        <w:rPr>
          <w:rFonts w:hint="eastAsia"/>
          <w:highlight w:val="none"/>
        </w:rPr>
        <w:t>资格证明文件</w:t>
      </w:r>
      <w:r>
        <w:tab/>
      </w:r>
      <w:r>
        <w:fldChar w:fldCharType="begin"/>
      </w:r>
      <w:r>
        <w:instrText xml:space="preserve"> PAGEREF _Toc18126 \h </w:instrText>
      </w:r>
      <w:r>
        <w:fldChar w:fldCharType="separate"/>
      </w:r>
      <w:r>
        <w:t>37</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_Toc5481 </w:instrText>
      </w:r>
      <w:r>
        <w:rPr>
          <w:bCs/>
          <w:caps/>
          <w:szCs w:val="21"/>
          <w:highlight w:val="none"/>
        </w:rPr>
        <w:fldChar w:fldCharType="separate"/>
      </w:r>
      <w:r>
        <w:rPr>
          <w:rFonts w:hint="default"/>
        </w:rPr>
        <w:t xml:space="preserve">12 </w:t>
      </w:r>
      <w:r>
        <w:rPr>
          <w:rFonts w:hint="eastAsia"/>
          <w:highlight w:val="none"/>
        </w:rPr>
        <w:t>货物和服务的证明文件</w:t>
      </w:r>
      <w:r>
        <w:tab/>
      </w:r>
      <w:r>
        <w:fldChar w:fldCharType="begin"/>
      </w:r>
      <w:r>
        <w:instrText xml:space="preserve"> PAGEREF _Toc5481 \h </w:instrText>
      </w:r>
      <w:r>
        <w:fldChar w:fldCharType="separate"/>
      </w:r>
      <w:r>
        <w:t>38</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_Toc2161 </w:instrText>
      </w:r>
      <w:r>
        <w:rPr>
          <w:bCs/>
          <w:caps/>
          <w:szCs w:val="21"/>
          <w:highlight w:val="none"/>
        </w:rPr>
        <w:fldChar w:fldCharType="separate"/>
      </w:r>
      <w:r>
        <w:rPr>
          <w:rFonts w:hint="default"/>
        </w:rPr>
        <w:t xml:space="preserve">13 </w:t>
      </w:r>
      <w:r>
        <w:rPr>
          <w:rFonts w:hint="eastAsia"/>
          <w:highlight w:val="none"/>
        </w:rPr>
        <w:t>投标报价与投标货币</w:t>
      </w:r>
      <w:r>
        <w:tab/>
      </w:r>
      <w:r>
        <w:fldChar w:fldCharType="begin"/>
      </w:r>
      <w:r>
        <w:instrText xml:space="preserve"> PAGEREF _Toc2161 \h </w:instrText>
      </w:r>
      <w:r>
        <w:fldChar w:fldCharType="separate"/>
      </w:r>
      <w:r>
        <w:t>38</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_Toc24706 </w:instrText>
      </w:r>
      <w:r>
        <w:rPr>
          <w:bCs/>
          <w:caps/>
          <w:szCs w:val="21"/>
          <w:highlight w:val="none"/>
        </w:rPr>
        <w:fldChar w:fldCharType="separate"/>
      </w:r>
      <w:r>
        <w:rPr>
          <w:rFonts w:hint="default"/>
        </w:rPr>
        <w:t xml:space="preserve">14 </w:t>
      </w:r>
      <w:r>
        <w:rPr>
          <w:rFonts w:hint="eastAsia"/>
          <w:highlight w:val="none"/>
        </w:rPr>
        <w:t>投标保证金</w:t>
      </w:r>
      <w:r>
        <w:tab/>
      </w:r>
      <w:r>
        <w:fldChar w:fldCharType="begin"/>
      </w:r>
      <w:r>
        <w:instrText xml:space="preserve"> PAGEREF _Toc24706 \h </w:instrText>
      </w:r>
      <w:r>
        <w:fldChar w:fldCharType="separate"/>
      </w:r>
      <w:r>
        <w:t>38</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_Toc7107 </w:instrText>
      </w:r>
      <w:r>
        <w:rPr>
          <w:bCs/>
          <w:caps/>
          <w:szCs w:val="21"/>
          <w:highlight w:val="none"/>
        </w:rPr>
        <w:fldChar w:fldCharType="separate"/>
      </w:r>
      <w:r>
        <w:rPr>
          <w:rFonts w:hint="default"/>
        </w:rPr>
        <w:t xml:space="preserve">15 </w:t>
      </w:r>
      <w:r>
        <w:rPr>
          <w:rFonts w:hint="eastAsia"/>
          <w:highlight w:val="none"/>
        </w:rPr>
        <w:t>投标有效期</w:t>
      </w:r>
      <w:r>
        <w:tab/>
      </w:r>
      <w:r>
        <w:fldChar w:fldCharType="begin"/>
      </w:r>
      <w:r>
        <w:instrText xml:space="preserve"> PAGEREF _Toc7107 \h </w:instrText>
      </w:r>
      <w:r>
        <w:fldChar w:fldCharType="separate"/>
      </w:r>
      <w:r>
        <w:t>39</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_Toc23249 </w:instrText>
      </w:r>
      <w:r>
        <w:rPr>
          <w:bCs/>
          <w:caps/>
          <w:szCs w:val="21"/>
          <w:highlight w:val="none"/>
        </w:rPr>
        <w:fldChar w:fldCharType="separate"/>
      </w:r>
      <w:r>
        <w:rPr>
          <w:rFonts w:hint="default"/>
        </w:rPr>
        <w:t xml:space="preserve">16 </w:t>
      </w:r>
      <w:r>
        <w:rPr>
          <w:rFonts w:hint="eastAsia"/>
          <w:highlight w:val="none"/>
        </w:rPr>
        <w:t>投标文件的签署及规定</w:t>
      </w:r>
      <w:r>
        <w:tab/>
      </w:r>
      <w:r>
        <w:fldChar w:fldCharType="begin"/>
      </w:r>
      <w:r>
        <w:instrText xml:space="preserve"> PAGEREF _Toc23249 \h </w:instrText>
      </w:r>
      <w:r>
        <w:fldChar w:fldCharType="separate"/>
      </w:r>
      <w:r>
        <w:t>39</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_Toc22948 </w:instrText>
      </w:r>
      <w:r>
        <w:rPr>
          <w:bCs/>
          <w:caps/>
          <w:szCs w:val="21"/>
          <w:highlight w:val="none"/>
        </w:rPr>
        <w:fldChar w:fldCharType="separate"/>
      </w:r>
      <w:r>
        <w:rPr>
          <w:rFonts w:hint="eastAsia"/>
          <w:highlight w:val="none"/>
        </w:rPr>
        <w:t>Ｄ</w:t>
      </w:r>
      <w:r>
        <w:rPr>
          <w:highlight w:val="none"/>
        </w:rPr>
        <w:t xml:space="preserve">  </w:t>
      </w:r>
      <w:r>
        <w:rPr>
          <w:rFonts w:hint="eastAsia"/>
          <w:highlight w:val="none"/>
        </w:rPr>
        <w:t>投标文件的递交</w:t>
      </w:r>
      <w:r>
        <w:tab/>
      </w:r>
      <w:r>
        <w:fldChar w:fldCharType="begin"/>
      </w:r>
      <w:r>
        <w:instrText xml:space="preserve"> PAGEREF _Toc22948 \h </w:instrText>
      </w:r>
      <w:r>
        <w:fldChar w:fldCharType="separate"/>
      </w:r>
      <w:r>
        <w:t>40</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_Toc15843 </w:instrText>
      </w:r>
      <w:r>
        <w:rPr>
          <w:bCs/>
          <w:caps/>
          <w:szCs w:val="21"/>
          <w:highlight w:val="none"/>
        </w:rPr>
        <w:fldChar w:fldCharType="separate"/>
      </w:r>
      <w:r>
        <w:rPr>
          <w:rFonts w:hint="default" w:ascii="宋体" w:hAnsi="宋体"/>
        </w:rPr>
        <w:t xml:space="preserve">17 </w:t>
      </w:r>
      <w:r>
        <w:rPr>
          <w:rFonts w:hint="eastAsia"/>
          <w:highlight w:val="none"/>
        </w:rPr>
        <w:t>投标文件的密封和标记</w:t>
      </w:r>
      <w:r>
        <w:tab/>
      </w:r>
      <w:r>
        <w:fldChar w:fldCharType="begin"/>
      </w:r>
      <w:r>
        <w:instrText xml:space="preserve"> PAGEREF _Toc15843 \h </w:instrText>
      </w:r>
      <w:r>
        <w:fldChar w:fldCharType="separate"/>
      </w:r>
      <w:r>
        <w:t>40</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_Toc28911 </w:instrText>
      </w:r>
      <w:r>
        <w:rPr>
          <w:bCs/>
          <w:caps/>
          <w:szCs w:val="21"/>
          <w:highlight w:val="none"/>
        </w:rPr>
        <w:fldChar w:fldCharType="separate"/>
      </w:r>
      <w:r>
        <w:rPr>
          <w:rFonts w:hint="default"/>
        </w:rPr>
        <w:t xml:space="preserve">18 </w:t>
      </w:r>
      <w:r>
        <w:rPr>
          <w:rFonts w:hint="eastAsia"/>
          <w:highlight w:val="none"/>
        </w:rPr>
        <w:t>递交投标文件的时间、地点及截止时间</w:t>
      </w:r>
      <w:r>
        <w:tab/>
      </w:r>
      <w:r>
        <w:fldChar w:fldCharType="begin"/>
      </w:r>
      <w:r>
        <w:instrText xml:space="preserve"> PAGEREF _Toc28911 \h </w:instrText>
      </w:r>
      <w:r>
        <w:fldChar w:fldCharType="separate"/>
      </w:r>
      <w:r>
        <w:t>40</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_Toc29344 </w:instrText>
      </w:r>
      <w:r>
        <w:rPr>
          <w:bCs/>
          <w:caps/>
          <w:szCs w:val="21"/>
          <w:highlight w:val="none"/>
        </w:rPr>
        <w:fldChar w:fldCharType="separate"/>
      </w:r>
      <w:r>
        <w:rPr>
          <w:rFonts w:hint="default"/>
        </w:rPr>
        <w:t xml:space="preserve">19 </w:t>
      </w:r>
      <w:r>
        <w:rPr>
          <w:rFonts w:hint="eastAsia"/>
          <w:highlight w:val="none"/>
        </w:rPr>
        <w:t>迟交的投标文件</w:t>
      </w:r>
      <w:r>
        <w:tab/>
      </w:r>
      <w:r>
        <w:fldChar w:fldCharType="begin"/>
      </w:r>
      <w:r>
        <w:instrText xml:space="preserve"> PAGEREF _Toc29344 \h </w:instrText>
      </w:r>
      <w:r>
        <w:fldChar w:fldCharType="separate"/>
      </w:r>
      <w:r>
        <w:t>40</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_Toc11900 </w:instrText>
      </w:r>
      <w:r>
        <w:rPr>
          <w:bCs/>
          <w:caps/>
          <w:szCs w:val="21"/>
          <w:highlight w:val="none"/>
        </w:rPr>
        <w:fldChar w:fldCharType="separate"/>
      </w:r>
      <w:r>
        <w:rPr>
          <w:rFonts w:hint="default"/>
        </w:rPr>
        <w:t xml:space="preserve">20 </w:t>
      </w:r>
      <w:r>
        <w:rPr>
          <w:rFonts w:hint="eastAsia"/>
          <w:highlight w:val="none"/>
        </w:rPr>
        <w:t>投标文件的修改和撤回</w:t>
      </w:r>
      <w:r>
        <w:tab/>
      </w:r>
      <w:r>
        <w:fldChar w:fldCharType="begin"/>
      </w:r>
      <w:r>
        <w:instrText xml:space="preserve"> PAGEREF _Toc11900 \h </w:instrText>
      </w:r>
      <w:r>
        <w:fldChar w:fldCharType="separate"/>
      </w:r>
      <w:r>
        <w:t>40</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_Toc17356 </w:instrText>
      </w:r>
      <w:r>
        <w:rPr>
          <w:bCs/>
          <w:caps/>
          <w:szCs w:val="21"/>
          <w:highlight w:val="none"/>
        </w:rPr>
        <w:fldChar w:fldCharType="separate"/>
      </w:r>
      <w:r>
        <w:rPr>
          <w:rFonts w:hint="eastAsia"/>
          <w:highlight w:val="none"/>
        </w:rPr>
        <w:t>Ｅ</w:t>
      </w:r>
      <w:r>
        <w:rPr>
          <w:highlight w:val="none"/>
        </w:rPr>
        <w:t xml:space="preserve">  </w:t>
      </w:r>
      <w:r>
        <w:rPr>
          <w:rFonts w:hint="eastAsia"/>
          <w:highlight w:val="none"/>
        </w:rPr>
        <w:t>开标和评标</w:t>
      </w:r>
      <w:r>
        <w:tab/>
      </w:r>
      <w:r>
        <w:fldChar w:fldCharType="begin"/>
      </w:r>
      <w:r>
        <w:instrText xml:space="preserve"> PAGEREF _Toc17356 \h </w:instrText>
      </w:r>
      <w:r>
        <w:fldChar w:fldCharType="separate"/>
      </w:r>
      <w:r>
        <w:t>41</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_Toc17956 </w:instrText>
      </w:r>
      <w:r>
        <w:rPr>
          <w:bCs/>
          <w:caps/>
          <w:szCs w:val="21"/>
          <w:highlight w:val="none"/>
        </w:rPr>
        <w:fldChar w:fldCharType="separate"/>
      </w:r>
      <w:r>
        <w:rPr>
          <w:rFonts w:hint="default"/>
        </w:rPr>
        <w:t xml:space="preserve">21 </w:t>
      </w:r>
      <w:r>
        <w:rPr>
          <w:rFonts w:hint="eastAsia"/>
          <w:highlight w:val="none"/>
        </w:rPr>
        <w:t>开标</w:t>
      </w:r>
      <w:r>
        <w:tab/>
      </w:r>
      <w:r>
        <w:fldChar w:fldCharType="begin"/>
      </w:r>
      <w:r>
        <w:instrText xml:space="preserve"> PAGEREF _Toc17956 \h </w:instrText>
      </w:r>
      <w:r>
        <w:fldChar w:fldCharType="separate"/>
      </w:r>
      <w:r>
        <w:t>41</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_Toc24945 </w:instrText>
      </w:r>
      <w:r>
        <w:rPr>
          <w:bCs/>
          <w:caps/>
          <w:szCs w:val="21"/>
          <w:highlight w:val="none"/>
        </w:rPr>
        <w:fldChar w:fldCharType="separate"/>
      </w:r>
      <w:r>
        <w:rPr>
          <w:rFonts w:hint="default" w:ascii="宋体" w:hAnsi="宋体"/>
        </w:rPr>
        <w:t xml:space="preserve">22 </w:t>
      </w:r>
      <w:r>
        <w:rPr>
          <w:rFonts w:hint="eastAsia"/>
          <w:highlight w:val="none"/>
        </w:rPr>
        <w:t>评标委员会</w:t>
      </w:r>
      <w:r>
        <w:tab/>
      </w:r>
      <w:r>
        <w:fldChar w:fldCharType="begin"/>
      </w:r>
      <w:r>
        <w:instrText xml:space="preserve"> PAGEREF _Toc24945 \h </w:instrText>
      </w:r>
      <w:r>
        <w:fldChar w:fldCharType="separate"/>
      </w:r>
      <w:r>
        <w:t>41</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_Toc11512 </w:instrText>
      </w:r>
      <w:r>
        <w:rPr>
          <w:bCs/>
          <w:caps/>
          <w:szCs w:val="21"/>
          <w:highlight w:val="none"/>
        </w:rPr>
        <w:fldChar w:fldCharType="separate"/>
      </w:r>
      <w:r>
        <w:rPr>
          <w:rFonts w:hint="default"/>
        </w:rPr>
        <w:t xml:space="preserve">23 </w:t>
      </w:r>
      <w:r>
        <w:rPr>
          <w:rFonts w:hint="eastAsia"/>
          <w:highlight w:val="none"/>
        </w:rPr>
        <w:t>对投标文件的初审和响应性的确定</w:t>
      </w:r>
      <w:r>
        <w:tab/>
      </w:r>
      <w:r>
        <w:fldChar w:fldCharType="begin"/>
      </w:r>
      <w:r>
        <w:instrText xml:space="preserve"> PAGEREF _Toc11512 \h </w:instrText>
      </w:r>
      <w:r>
        <w:fldChar w:fldCharType="separate"/>
      </w:r>
      <w:r>
        <w:t>41</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_Toc9421 </w:instrText>
      </w:r>
      <w:r>
        <w:rPr>
          <w:bCs/>
          <w:caps/>
          <w:szCs w:val="21"/>
          <w:highlight w:val="none"/>
        </w:rPr>
        <w:fldChar w:fldCharType="separate"/>
      </w:r>
      <w:r>
        <w:rPr>
          <w:rFonts w:hint="default"/>
        </w:rPr>
        <w:t xml:space="preserve">24 </w:t>
      </w:r>
      <w:r>
        <w:rPr>
          <w:rFonts w:hint="eastAsia"/>
          <w:highlight w:val="none"/>
        </w:rPr>
        <w:t>投标报价的审核</w:t>
      </w:r>
      <w:r>
        <w:tab/>
      </w:r>
      <w:r>
        <w:fldChar w:fldCharType="begin"/>
      </w:r>
      <w:r>
        <w:instrText xml:space="preserve"> PAGEREF _Toc9421 \h </w:instrText>
      </w:r>
      <w:r>
        <w:fldChar w:fldCharType="separate"/>
      </w:r>
      <w:r>
        <w:t>42</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_Toc22018 </w:instrText>
      </w:r>
      <w:r>
        <w:rPr>
          <w:bCs/>
          <w:caps/>
          <w:szCs w:val="21"/>
          <w:highlight w:val="none"/>
        </w:rPr>
        <w:fldChar w:fldCharType="separate"/>
      </w:r>
      <w:r>
        <w:rPr>
          <w:rFonts w:hint="default"/>
        </w:rPr>
        <w:t xml:space="preserve">25 </w:t>
      </w:r>
      <w:r>
        <w:rPr>
          <w:rFonts w:hint="eastAsia"/>
          <w:highlight w:val="none"/>
        </w:rPr>
        <w:t>询标及投标文件的澄清</w:t>
      </w:r>
      <w:r>
        <w:tab/>
      </w:r>
      <w:r>
        <w:fldChar w:fldCharType="begin"/>
      </w:r>
      <w:r>
        <w:instrText xml:space="preserve"> PAGEREF _Toc22018 \h </w:instrText>
      </w:r>
      <w:r>
        <w:fldChar w:fldCharType="separate"/>
      </w:r>
      <w:r>
        <w:t>42</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_Toc16503 </w:instrText>
      </w:r>
      <w:r>
        <w:rPr>
          <w:bCs/>
          <w:caps/>
          <w:szCs w:val="21"/>
          <w:highlight w:val="none"/>
        </w:rPr>
        <w:fldChar w:fldCharType="separate"/>
      </w:r>
      <w:r>
        <w:rPr>
          <w:rFonts w:hint="default"/>
        </w:rPr>
        <w:t xml:space="preserve">26 </w:t>
      </w:r>
      <w:r>
        <w:rPr>
          <w:rFonts w:hint="eastAsia"/>
          <w:highlight w:val="none"/>
        </w:rPr>
        <w:t>评标原则</w:t>
      </w:r>
      <w:r>
        <w:tab/>
      </w:r>
      <w:r>
        <w:fldChar w:fldCharType="begin"/>
      </w:r>
      <w:r>
        <w:instrText xml:space="preserve"> PAGEREF _Toc16503 \h </w:instrText>
      </w:r>
      <w:r>
        <w:fldChar w:fldCharType="separate"/>
      </w:r>
      <w:r>
        <w:t>42</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_Toc28239 </w:instrText>
      </w:r>
      <w:r>
        <w:rPr>
          <w:bCs/>
          <w:caps/>
          <w:szCs w:val="21"/>
          <w:highlight w:val="none"/>
        </w:rPr>
        <w:fldChar w:fldCharType="separate"/>
      </w:r>
      <w:r>
        <w:rPr>
          <w:rFonts w:hint="default"/>
        </w:rPr>
        <w:t xml:space="preserve">27 </w:t>
      </w:r>
      <w:r>
        <w:rPr>
          <w:rFonts w:hint="eastAsia"/>
          <w:highlight w:val="none"/>
        </w:rPr>
        <w:t>评标标准和办法</w:t>
      </w:r>
      <w:r>
        <w:tab/>
      </w:r>
      <w:r>
        <w:fldChar w:fldCharType="begin"/>
      </w:r>
      <w:r>
        <w:instrText xml:space="preserve"> PAGEREF _Toc28239 \h </w:instrText>
      </w:r>
      <w:r>
        <w:fldChar w:fldCharType="separate"/>
      </w:r>
      <w:r>
        <w:t>43</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_Toc9937 </w:instrText>
      </w:r>
      <w:r>
        <w:rPr>
          <w:bCs/>
          <w:caps/>
          <w:szCs w:val="21"/>
          <w:highlight w:val="none"/>
        </w:rPr>
        <w:fldChar w:fldCharType="separate"/>
      </w:r>
      <w:r>
        <w:rPr>
          <w:rFonts w:hint="default"/>
        </w:rPr>
        <w:t xml:space="preserve">28 </w:t>
      </w:r>
      <w:r>
        <w:rPr>
          <w:rFonts w:hint="eastAsia"/>
          <w:highlight w:val="none"/>
        </w:rPr>
        <w:t>评标注意事项</w:t>
      </w:r>
      <w:r>
        <w:tab/>
      </w:r>
      <w:r>
        <w:fldChar w:fldCharType="begin"/>
      </w:r>
      <w:r>
        <w:instrText xml:space="preserve"> PAGEREF _Toc9937 \h </w:instrText>
      </w:r>
      <w:r>
        <w:fldChar w:fldCharType="separate"/>
      </w:r>
      <w:r>
        <w:t>43</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_Toc23064 </w:instrText>
      </w:r>
      <w:r>
        <w:rPr>
          <w:bCs/>
          <w:caps/>
          <w:szCs w:val="21"/>
          <w:highlight w:val="none"/>
        </w:rPr>
        <w:fldChar w:fldCharType="separate"/>
      </w:r>
      <w:r>
        <w:rPr>
          <w:rFonts w:hint="default"/>
        </w:rPr>
        <w:t xml:space="preserve">29 </w:t>
      </w:r>
      <w:r>
        <w:rPr>
          <w:rFonts w:hint="eastAsia"/>
          <w:highlight w:val="none"/>
        </w:rPr>
        <w:t>接受和拒绝投标的权利</w:t>
      </w:r>
      <w:r>
        <w:tab/>
      </w:r>
      <w:r>
        <w:fldChar w:fldCharType="begin"/>
      </w:r>
      <w:r>
        <w:instrText xml:space="preserve"> PAGEREF _Toc23064 \h </w:instrText>
      </w:r>
      <w:r>
        <w:fldChar w:fldCharType="separate"/>
      </w:r>
      <w:r>
        <w:t>43</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_Toc272 </w:instrText>
      </w:r>
      <w:r>
        <w:rPr>
          <w:bCs/>
          <w:caps/>
          <w:szCs w:val="21"/>
          <w:highlight w:val="none"/>
        </w:rPr>
        <w:fldChar w:fldCharType="separate"/>
      </w:r>
      <w:r>
        <w:rPr>
          <w:rFonts w:hint="default"/>
        </w:rPr>
        <w:t xml:space="preserve">30 </w:t>
      </w:r>
      <w:r>
        <w:rPr>
          <w:rFonts w:hint="eastAsia"/>
          <w:highlight w:val="none"/>
        </w:rPr>
        <w:t>发布中标结果公告和发放中标通知书</w:t>
      </w:r>
      <w:r>
        <w:tab/>
      </w:r>
      <w:r>
        <w:fldChar w:fldCharType="begin"/>
      </w:r>
      <w:r>
        <w:instrText xml:space="preserve"> PAGEREF _Toc272 \h </w:instrText>
      </w:r>
      <w:r>
        <w:fldChar w:fldCharType="separate"/>
      </w:r>
      <w:r>
        <w:t>43</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_Toc1076 </w:instrText>
      </w:r>
      <w:r>
        <w:rPr>
          <w:bCs/>
          <w:caps/>
          <w:szCs w:val="21"/>
          <w:highlight w:val="none"/>
        </w:rPr>
        <w:fldChar w:fldCharType="separate"/>
      </w:r>
      <w:r>
        <w:rPr>
          <w:rFonts w:hint="default"/>
        </w:rPr>
        <w:t xml:space="preserve">31 </w:t>
      </w:r>
      <w:r>
        <w:rPr>
          <w:rFonts w:hint="eastAsia"/>
          <w:highlight w:val="none"/>
        </w:rPr>
        <w:t>投标人对中标结果的质疑、投诉</w:t>
      </w:r>
      <w:r>
        <w:tab/>
      </w:r>
      <w:r>
        <w:fldChar w:fldCharType="begin"/>
      </w:r>
      <w:r>
        <w:instrText xml:space="preserve"> PAGEREF _Toc1076 \h </w:instrText>
      </w:r>
      <w:r>
        <w:fldChar w:fldCharType="separate"/>
      </w:r>
      <w:r>
        <w:t>43</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_Toc9041 </w:instrText>
      </w:r>
      <w:r>
        <w:rPr>
          <w:bCs/>
          <w:caps/>
          <w:szCs w:val="21"/>
          <w:highlight w:val="none"/>
        </w:rPr>
        <w:fldChar w:fldCharType="separate"/>
      </w:r>
      <w:r>
        <w:rPr>
          <w:rFonts w:hint="eastAsia"/>
          <w:highlight w:val="none"/>
        </w:rPr>
        <w:t>Ｆ  授予合同</w:t>
      </w:r>
      <w:r>
        <w:tab/>
      </w:r>
      <w:r>
        <w:fldChar w:fldCharType="begin"/>
      </w:r>
      <w:r>
        <w:instrText xml:space="preserve"> PAGEREF _Toc9041 \h </w:instrText>
      </w:r>
      <w:r>
        <w:fldChar w:fldCharType="separate"/>
      </w:r>
      <w:r>
        <w:t>45</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_Toc23115 </w:instrText>
      </w:r>
      <w:r>
        <w:rPr>
          <w:bCs/>
          <w:caps/>
          <w:szCs w:val="21"/>
          <w:highlight w:val="none"/>
        </w:rPr>
        <w:fldChar w:fldCharType="separate"/>
      </w:r>
      <w:r>
        <w:rPr>
          <w:rFonts w:hint="default"/>
        </w:rPr>
        <w:t xml:space="preserve">32 </w:t>
      </w:r>
      <w:r>
        <w:rPr>
          <w:rFonts w:hint="eastAsia"/>
          <w:highlight w:val="none"/>
        </w:rPr>
        <w:t>合同授予标准</w:t>
      </w:r>
      <w:r>
        <w:tab/>
      </w:r>
      <w:r>
        <w:fldChar w:fldCharType="begin"/>
      </w:r>
      <w:r>
        <w:instrText xml:space="preserve"> PAGEREF _Toc23115 \h </w:instrText>
      </w:r>
      <w:r>
        <w:fldChar w:fldCharType="separate"/>
      </w:r>
      <w:r>
        <w:t>45</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_Toc3740 </w:instrText>
      </w:r>
      <w:r>
        <w:rPr>
          <w:bCs/>
          <w:caps/>
          <w:szCs w:val="21"/>
          <w:highlight w:val="none"/>
        </w:rPr>
        <w:fldChar w:fldCharType="separate"/>
      </w:r>
      <w:r>
        <w:rPr>
          <w:rFonts w:hint="default"/>
        </w:rPr>
        <w:t xml:space="preserve">33 </w:t>
      </w:r>
      <w:r>
        <w:rPr>
          <w:rFonts w:hint="eastAsia"/>
          <w:highlight w:val="none"/>
        </w:rPr>
        <w:t>签订合同</w:t>
      </w:r>
      <w:r>
        <w:tab/>
      </w:r>
      <w:r>
        <w:fldChar w:fldCharType="begin"/>
      </w:r>
      <w:r>
        <w:instrText xml:space="preserve"> PAGEREF _Toc3740 \h </w:instrText>
      </w:r>
      <w:r>
        <w:fldChar w:fldCharType="separate"/>
      </w:r>
      <w:r>
        <w:t>45</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_Toc25433 </w:instrText>
      </w:r>
      <w:r>
        <w:rPr>
          <w:bCs/>
          <w:caps/>
          <w:szCs w:val="21"/>
          <w:highlight w:val="none"/>
        </w:rPr>
        <w:fldChar w:fldCharType="separate"/>
      </w:r>
      <w:r>
        <w:rPr>
          <w:highlight w:val="none"/>
        </w:rPr>
        <w:t>G</w:t>
      </w:r>
      <w:r>
        <w:rPr>
          <w:rFonts w:hint="eastAsia"/>
          <w:highlight w:val="none"/>
        </w:rPr>
        <w:t>、政府采购政策</w:t>
      </w:r>
      <w:r>
        <w:tab/>
      </w:r>
      <w:r>
        <w:fldChar w:fldCharType="begin"/>
      </w:r>
      <w:r>
        <w:instrText xml:space="preserve"> PAGEREF _Toc25433 \h </w:instrText>
      </w:r>
      <w:r>
        <w:fldChar w:fldCharType="separate"/>
      </w:r>
      <w:r>
        <w:t>46</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_Toc22471 </w:instrText>
      </w:r>
      <w:r>
        <w:rPr>
          <w:bCs/>
          <w:caps/>
          <w:szCs w:val="21"/>
          <w:highlight w:val="none"/>
        </w:rPr>
        <w:fldChar w:fldCharType="separate"/>
      </w:r>
      <w:r>
        <w:rPr>
          <w:rFonts w:hint="eastAsia"/>
          <w:highlight w:val="none"/>
        </w:rPr>
        <w:t>H、评标细则</w:t>
      </w:r>
      <w:r>
        <w:tab/>
      </w:r>
      <w:r>
        <w:fldChar w:fldCharType="begin"/>
      </w:r>
      <w:r>
        <w:instrText xml:space="preserve"> PAGEREF _Toc22471 \h </w:instrText>
      </w:r>
      <w:r>
        <w:fldChar w:fldCharType="separate"/>
      </w:r>
      <w:r>
        <w:t>48</w:t>
      </w:r>
      <w:r>
        <w:fldChar w:fldCharType="end"/>
      </w:r>
      <w:r>
        <w:rPr>
          <w:bCs/>
          <w:caps/>
          <w:color w:val="000000" w:themeColor="text1"/>
          <w:szCs w:val="21"/>
          <w:highlight w:val="none"/>
        </w:rPr>
        <w:fldChar w:fldCharType="end"/>
      </w:r>
    </w:p>
    <w:p>
      <w:pPr>
        <w:pStyle w:val="31"/>
        <w:tabs>
          <w:tab w:val="right" w:leader="dot" w:pos="9070"/>
          <w:tab w:val="clear" w:pos="8949"/>
        </w:tabs>
      </w:pPr>
      <w:r>
        <w:rPr>
          <w:bCs/>
          <w:caps/>
          <w:color w:val="000000" w:themeColor="text1"/>
          <w:szCs w:val="21"/>
          <w:highlight w:val="none"/>
        </w:rPr>
        <w:fldChar w:fldCharType="begin"/>
      </w:r>
      <w:r>
        <w:rPr>
          <w:bCs/>
          <w:caps/>
          <w:szCs w:val="21"/>
          <w:highlight w:val="none"/>
        </w:rPr>
        <w:instrText xml:space="preserve"> HYPERLINK \l _Toc2940 </w:instrText>
      </w:r>
      <w:r>
        <w:rPr>
          <w:bCs/>
          <w:caps/>
          <w:szCs w:val="21"/>
          <w:highlight w:val="none"/>
        </w:rPr>
        <w:fldChar w:fldCharType="separate"/>
      </w:r>
      <w:r>
        <w:rPr>
          <w:rFonts w:hint="eastAsia"/>
          <w:highlight w:val="none"/>
        </w:rPr>
        <w:t>第四部分  采购项目合同（参考范本）</w:t>
      </w:r>
      <w:r>
        <w:tab/>
      </w:r>
      <w:r>
        <w:fldChar w:fldCharType="begin"/>
      </w:r>
      <w:r>
        <w:instrText xml:space="preserve"> PAGEREF _Toc2940 \h </w:instrText>
      </w:r>
      <w:r>
        <w:fldChar w:fldCharType="separate"/>
      </w:r>
      <w:r>
        <w:t>50</w:t>
      </w:r>
      <w:r>
        <w:fldChar w:fldCharType="end"/>
      </w:r>
      <w:r>
        <w:rPr>
          <w:bCs/>
          <w:caps/>
          <w:color w:val="000000" w:themeColor="text1"/>
          <w:szCs w:val="21"/>
          <w:highlight w:val="none"/>
        </w:rPr>
        <w:fldChar w:fldCharType="end"/>
      </w:r>
    </w:p>
    <w:p>
      <w:pPr>
        <w:pStyle w:val="31"/>
        <w:tabs>
          <w:tab w:val="right" w:leader="dot" w:pos="9070"/>
          <w:tab w:val="clear" w:pos="8949"/>
        </w:tabs>
      </w:pPr>
      <w:r>
        <w:rPr>
          <w:bCs/>
          <w:caps/>
          <w:color w:val="000000" w:themeColor="text1"/>
          <w:szCs w:val="21"/>
          <w:highlight w:val="none"/>
        </w:rPr>
        <w:fldChar w:fldCharType="begin"/>
      </w:r>
      <w:r>
        <w:rPr>
          <w:bCs/>
          <w:caps/>
          <w:szCs w:val="21"/>
          <w:highlight w:val="none"/>
        </w:rPr>
        <w:instrText xml:space="preserve"> HYPERLINK \l _Toc17039 </w:instrText>
      </w:r>
      <w:r>
        <w:rPr>
          <w:bCs/>
          <w:caps/>
          <w:szCs w:val="21"/>
          <w:highlight w:val="none"/>
        </w:rPr>
        <w:fldChar w:fldCharType="separate"/>
      </w:r>
      <w:r>
        <w:rPr>
          <w:rFonts w:hint="eastAsia"/>
          <w:highlight w:val="none"/>
        </w:rPr>
        <w:t xml:space="preserve">第五部分 </w:t>
      </w:r>
      <w:r>
        <w:rPr>
          <w:highlight w:val="none"/>
        </w:rPr>
        <w:t xml:space="preserve"> </w:t>
      </w:r>
      <w:r>
        <w:rPr>
          <w:rFonts w:hint="eastAsia"/>
          <w:highlight w:val="none"/>
        </w:rPr>
        <w:t>投标文件格式</w:t>
      </w:r>
      <w:r>
        <w:tab/>
      </w:r>
      <w:r>
        <w:fldChar w:fldCharType="begin"/>
      </w:r>
      <w:r>
        <w:instrText xml:space="preserve"> PAGEREF _Toc17039 \h </w:instrText>
      </w:r>
      <w:r>
        <w:fldChar w:fldCharType="separate"/>
      </w:r>
      <w:r>
        <w:t>54</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_Toc22322 </w:instrText>
      </w:r>
      <w:r>
        <w:rPr>
          <w:bCs/>
          <w:caps/>
          <w:szCs w:val="21"/>
          <w:highlight w:val="none"/>
        </w:rPr>
        <w:fldChar w:fldCharType="separate"/>
      </w:r>
      <w:r>
        <w:rPr>
          <w:rFonts w:hint="eastAsia"/>
          <w:highlight w:val="none"/>
        </w:rPr>
        <w:t>资格审查封面格式</w:t>
      </w:r>
      <w:r>
        <w:tab/>
      </w:r>
      <w:r>
        <w:fldChar w:fldCharType="begin"/>
      </w:r>
      <w:r>
        <w:instrText xml:space="preserve"> PAGEREF _Toc22322 \h </w:instrText>
      </w:r>
      <w:r>
        <w:fldChar w:fldCharType="separate"/>
      </w:r>
      <w:r>
        <w:t>54</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_Toc6758 </w:instrText>
      </w:r>
      <w:r>
        <w:rPr>
          <w:bCs/>
          <w:caps/>
          <w:szCs w:val="21"/>
          <w:highlight w:val="none"/>
        </w:rPr>
        <w:fldChar w:fldCharType="separate"/>
      </w:r>
      <w:r>
        <w:rPr>
          <w:rFonts w:hint="default"/>
        </w:rPr>
        <w:t xml:space="preserve">第一章 </w:t>
      </w:r>
      <w:r>
        <w:rPr>
          <w:rFonts w:hint="eastAsia"/>
          <w:highlight w:val="none"/>
        </w:rPr>
        <w:t>自查表</w:t>
      </w:r>
      <w:r>
        <w:tab/>
      </w:r>
      <w:r>
        <w:fldChar w:fldCharType="begin"/>
      </w:r>
      <w:r>
        <w:instrText xml:space="preserve"> PAGEREF _Toc6758 \h </w:instrText>
      </w:r>
      <w:r>
        <w:fldChar w:fldCharType="separate"/>
      </w:r>
      <w:r>
        <w:t>56</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_Toc357 </w:instrText>
      </w:r>
      <w:r>
        <w:rPr>
          <w:bCs/>
          <w:caps/>
          <w:szCs w:val="21"/>
          <w:highlight w:val="none"/>
        </w:rPr>
        <w:fldChar w:fldCharType="separate"/>
      </w:r>
      <w:r>
        <w:rPr>
          <w:rFonts w:hint="eastAsia" w:ascii="宋体"/>
          <w:bCs w:val="0"/>
          <w:szCs w:val="21"/>
          <w:highlight w:val="none"/>
        </w:rPr>
        <w:t>资格性自查表</w:t>
      </w:r>
      <w:r>
        <w:tab/>
      </w:r>
      <w:r>
        <w:fldChar w:fldCharType="begin"/>
      </w:r>
      <w:r>
        <w:instrText xml:space="preserve"> PAGEREF _Toc357 \h </w:instrText>
      </w:r>
      <w:r>
        <w:fldChar w:fldCharType="separate"/>
      </w:r>
      <w:r>
        <w:t>56</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_Toc24261 </w:instrText>
      </w:r>
      <w:r>
        <w:rPr>
          <w:bCs/>
          <w:caps/>
          <w:szCs w:val="21"/>
          <w:highlight w:val="none"/>
        </w:rPr>
        <w:fldChar w:fldCharType="separate"/>
      </w:r>
      <w:r>
        <w:rPr>
          <w:rFonts w:hint="eastAsia"/>
          <w:highlight w:val="none"/>
        </w:rPr>
        <w:t>（一）资格审查文件要求提交的有效证明文件</w:t>
      </w:r>
      <w:r>
        <w:tab/>
      </w:r>
      <w:r>
        <w:fldChar w:fldCharType="begin"/>
      </w:r>
      <w:r>
        <w:instrText xml:space="preserve"> PAGEREF _Toc24261 \h </w:instrText>
      </w:r>
      <w:r>
        <w:fldChar w:fldCharType="separate"/>
      </w:r>
      <w:r>
        <w:t>57</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_Toc25339 </w:instrText>
      </w:r>
      <w:r>
        <w:rPr>
          <w:bCs/>
          <w:caps/>
          <w:szCs w:val="21"/>
          <w:highlight w:val="none"/>
        </w:rPr>
        <w:fldChar w:fldCharType="separate"/>
      </w:r>
      <w:r>
        <w:rPr>
          <w:rFonts w:hint="eastAsia" w:hAnsi="黑体"/>
          <w:szCs w:val="21"/>
          <w:highlight w:val="none"/>
        </w:rPr>
        <w:t>（二）无重大违法记录声明函</w:t>
      </w:r>
      <w:r>
        <w:tab/>
      </w:r>
      <w:r>
        <w:fldChar w:fldCharType="begin"/>
      </w:r>
      <w:r>
        <w:instrText xml:space="preserve"> PAGEREF _Toc25339 \h </w:instrText>
      </w:r>
      <w:r>
        <w:fldChar w:fldCharType="separate"/>
      </w:r>
      <w:r>
        <w:t>58</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_Toc18184 </w:instrText>
      </w:r>
      <w:r>
        <w:rPr>
          <w:bCs/>
          <w:caps/>
          <w:szCs w:val="21"/>
          <w:highlight w:val="none"/>
        </w:rPr>
        <w:fldChar w:fldCharType="separate"/>
      </w:r>
      <w:r>
        <w:rPr>
          <w:rFonts w:hint="default"/>
        </w:rPr>
        <w:t xml:space="preserve">第二章 </w:t>
      </w:r>
      <w:r>
        <w:rPr>
          <w:rFonts w:hint="eastAsia"/>
          <w:highlight w:val="none"/>
        </w:rPr>
        <w:t>投标文件商务及技术部分</w:t>
      </w:r>
      <w:r>
        <w:tab/>
      </w:r>
      <w:r>
        <w:fldChar w:fldCharType="begin"/>
      </w:r>
      <w:r>
        <w:instrText xml:space="preserve"> PAGEREF _Toc18184 \h </w:instrText>
      </w:r>
      <w:r>
        <w:fldChar w:fldCharType="separate"/>
      </w:r>
      <w:r>
        <w:t>59</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_Toc14276 </w:instrText>
      </w:r>
      <w:r>
        <w:rPr>
          <w:bCs/>
          <w:caps/>
          <w:szCs w:val="21"/>
          <w:highlight w:val="none"/>
        </w:rPr>
        <w:fldChar w:fldCharType="separate"/>
      </w:r>
      <w:r>
        <w:rPr>
          <w:rFonts w:hint="eastAsia"/>
          <w:highlight w:val="none"/>
        </w:rPr>
        <w:t>商务及技术封面格式</w:t>
      </w:r>
      <w:r>
        <w:tab/>
      </w:r>
      <w:r>
        <w:fldChar w:fldCharType="begin"/>
      </w:r>
      <w:r>
        <w:instrText xml:space="preserve"> PAGEREF _Toc14276 \h </w:instrText>
      </w:r>
      <w:r>
        <w:fldChar w:fldCharType="separate"/>
      </w:r>
      <w:r>
        <w:t>59</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_Toc534 </w:instrText>
      </w:r>
      <w:r>
        <w:rPr>
          <w:bCs/>
          <w:caps/>
          <w:szCs w:val="21"/>
          <w:highlight w:val="none"/>
        </w:rPr>
        <w:fldChar w:fldCharType="separate"/>
      </w:r>
      <w:r>
        <w:rPr>
          <w:rFonts w:hint="eastAsia" w:ascii="宋体"/>
          <w:bCs w:val="0"/>
          <w:szCs w:val="21"/>
          <w:highlight w:val="none"/>
        </w:rPr>
        <w:t>符合性自查表</w:t>
      </w:r>
      <w:r>
        <w:tab/>
      </w:r>
      <w:r>
        <w:fldChar w:fldCharType="begin"/>
      </w:r>
      <w:r>
        <w:instrText xml:space="preserve"> PAGEREF _Toc534 \h </w:instrText>
      </w:r>
      <w:r>
        <w:fldChar w:fldCharType="separate"/>
      </w:r>
      <w:r>
        <w:t>61</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_Toc13308 </w:instrText>
      </w:r>
      <w:r>
        <w:rPr>
          <w:bCs/>
          <w:caps/>
          <w:szCs w:val="21"/>
          <w:highlight w:val="none"/>
        </w:rPr>
        <w:fldChar w:fldCharType="separate"/>
      </w:r>
      <w:r>
        <w:rPr>
          <w:rFonts w:hint="eastAsia" w:ascii="宋体"/>
          <w:szCs w:val="21"/>
          <w:highlight w:val="none"/>
        </w:rPr>
        <w:t>评审项目投标资料表</w:t>
      </w:r>
      <w:r>
        <w:tab/>
      </w:r>
      <w:r>
        <w:fldChar w:fldCharType="begin"/>
      </w:r>
      <w:r>
        <w:instrText xml:space="preserve"> PAGEREF _Toc13308 \h </w:instrText>
      </w:r>
      <w:r>
        <w:fldChar w:fldCharType="separate"/>
      </w:r>
      <w:r>
        <w:t>62</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_Toc30824 </w:instrText>
      </w:r>
      <w:r>
        <w:rPr>
          <w:bCs/>
          <w:caps/>
          <w:szCs w:val="21"/>
          <w:highlight w:val="none"/>
        </w:rPr>
        <w:fldChar w:fldCharType="separate"/>
      </w:r>
      <w:r>
        <w:rPr>
          <w:rFonts w:hint="eastAsia"/>
          <w:highlight w:val="none"/>
        </w:rPr>
        <w:t>（一）法定代表人（负责人）证明书</w:t>
      </w:r>
      <w:r>
        <w:tab/>
      </w:r>
      <w:r>
        <w:fldChar w:fldCharType="begin"/>
      </w:r>
      <w:r>
        <w:instrText xml:space="preserve"> PAGEREF _Toc30824 \h </w:instrText>
      </w:r>
      <w:r>
        <w:fldChar w:fldCharType="separate"/>
      </w:r>
      <w:r>
        <w:t>63</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_Toc14012 </w:instrText>
      </w:r>
      <w:r>
        <w:rPr>
          <w:bCs/>
          <w:caps/>
          <w:szCs w:val="21"/>
          <w:highlight w:val="none"/>
        </w:rPr>
        <w:fldChar w:fldCharType="separate"/>
      </w:r>
      <w:r>
        <w:rPr>
          <w:rFonts w:hint="eastAsia"/>
          <w:highlight w:val="none"/>
        </w:rPr>
        <w:t>（二）法定代表人（负责人）授权书</w:t>
      </w:r>
      <w:r>
        <w:tab/>
      </w:r>
      <w:r>
        <w:fldChar w:fldCharType="begin"/>
      </w:r>
      <w:r>
        <w:instrText xml:space="preserve"> PAGEREF _Toc14012 \h </w:instrText>
      </w:r>
      <w:r>
        <w:fldChar w:fldCharType="separate"/>
      </w:r>
      <w:r>
        <w:t>64</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_Toc19243 </w:instrText>
      </w:r>
      <w:r>
        <w:rPr>
          <w:bCs/>
          <w:caps/>
          <w:szCs w:val="21"/>
          <w:highlight w:val="none"/>
        </w:rPr>
        <w:fldChar w:fldCharType="separate"/>
      </w:r>
      <w:r>
        <w:rPr>
          <w:rFonts w:hint="eastAsia"/>
          <w:highlight w:val="none"/>
        </w:rPr>
        <w:t>附件一：投标函</w:t>
      </w:r>
      <w:r>
        <w:tab/>
      </w:r>
      <w:r>
        <w:fldChar w:fldCharType="begin"/>
      </w:r>
      <w:r>
        <w:instrText xml:space="preserve"> PAGEREF _Toc19243 \h </w:instrText>
      </w:r>
      <w:r>
        <w:fldChar w:fldCharType="separate"/>
      </w:r>
      <w:r>
        <w:t>65</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_Toc2316 </w:instrText>
      </w:r>
      <w:r>
        <w:rPr>
          <w:bCs/>
          <w:caps/>
          <w:szCs w:val="21"/>
          <w:highlight w:val="none"/>
        </w:rPr>
        <w:fldChar w:fldCharType="separate"/>
      </w:r>
      <w:r>
        <w:rPr>
          <w:rFonts w:hint="eastAsia"/>
          <w:highlight w:val="none"/>
        </w:rPr>
        <w:t>附件二：开标一览表</w:t>
      </w:r>
      <w:r>
        <w:tab/>
      </w:r>
      <w:r>
        <w:fldChar w:fldCharType="begin"/>
      </w:r>
      <w:r>
        <w:instrText xml:space="preserve"> PAGEREF _Toc2316 \h </w:instrText>
      </w:r>
      <w:r>
        <w:fldChar w:fldCharType="separate"/>
      </w:r>
      <w:r>
        <w:t>66</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_Toc24977 </w:instrText>
      </w:r>
      <w:r>
        <w:rPr>
          <w:bCs/>
          <w:caps/>
          <w:szCs w:val="21"/>
          <w:highlight w:val="none"/>
        </w:rPr>
        <w:fldChar w:fldCharType="separate"/>
      </w:r>
      <w:r>
        <w:rPr>
          <w:rFonts w:hint="eastAsia"/>
          <w:highlight w:val="none"/>
        </w:rPr>
        <w:t>附件三：</w:t>
      </w:r>
      <w:r>
        <w:rPr>
          <w:highlight w:val="none"/>
        </w:rPr>
        <w:t>投标</w:t>
      </w:r>
      <w:r>
        <w:rPr>
          <w:rFonts w:hint="eastAsia"/>
          <w:highlight w:val="none"/>
        </w:rPr>
        <w:t>分项报价</w:t>
      </w:r>
      <w:r>
        <w:rPr>
          <w:highlight w:val="none"/>
        </w:rPr>
        <w:t>表</w:t>
      </w:r>
      <w:r>
        <w:tab/>
      </w:r>
      <w:r>
        <w:fldChar w:fldCharType="begin"/>
      </w:r>
      <w:r>
        <w:instrText xml:space="preserve"> PAGEREF _Toc24977 \h </w:instrText>
      </w:r>
      <w:r>
        <w:fldChar w:fldCharType="separate"/>
      </w:r>
      <w:r>
        <w:t>67</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_Toc22136 </w:instrText>
      </w:r>
      <w:r>
        <w:rPr>
          <w:bCs/>
          <w:caps/>
          <w:szCs w:val="21"/>
          <w:highlight w:val="none"/>
        </w:rPr>
        <w:fldChar w:fldCharType="separate"/>
      </w:r>
      <w:r>
        <w:rPr>
          <w:rFonts w:hint="eastAsia"/>
          <w:highlight w:val="none"/>
        </w:rPr>
        <w:t>附件四：商务条款偏离一览表</w:t>
      </w:r>
      <w:r>
        <w:tab/>
      </w:r>
      <w:r>
        <w:fldChar w:fldCharType="begin"/>
      </w:r>
      <w:r>
        <w:instrText xml:space="preserve"> PAGEREF _Toc22136 \h </w:instrText>
      </w:r>
      <w:r>
        <w:fldChar w:fldCharType="separate"/>
      </w:r>
      <w:r>
        <w:t>68</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_Toc7567 </w:instrText>
      </w:r>
      <w:r>
        <w:rPr>
          <w:bCs/>
          <w:caps/>
          <w:szCs w:val="21"/>
          <w:highlight w:val="none"/>
        </w:rPr>
        <w:fldChar w:fldCharType="separate"/>
      </w:r>
      <w:r>
        <w:rPr>
          <w:rFonts w:hint="eastAsia"/>
          <w:highlight w:val="none"/>
        </w:rPr>
        <w:t>附件五：技术条款偏离一览表</w:t>
      </w:r>
      <w:r>
        <w:tab/>
      </w:r>
      <w:r>
        <w:fldChar w:fldCharType="begin"/>
      </w:r>
      <w:r>
        <w:instrText xml:space="preserve"> PAGEREF _Toc7567 \h </w:instrText>
      </w:r>
      <w:r>
        <w:fldChar w:fldCharType="separate"/>
      </w:r>
      <w:r>
        <w:t>69</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_Toc13140 </w:instrText>
      </w:r>
      <w:r>
        <w:rPr>
          <w:bCs/>
          <w:caps/>
          <w:szCs w:val="21"/>
          <w:highlight w:val="none"/>
        </w:rPr>
        <w:fldChar w:fldCharType="separate"/>
      </w:r>
      <w:r>
        <w:rPr>
          <w:rFonts w:hint="eastAsia"/>
          <w:highlight w:val="none"/>
        </w:rPr>
        <w:t>附件六：同类业绩一览表</w:t>
      </w:r>
      <w:r>
        <w:tab/>
      </w:r>
      <w:r>
        <w:fldChar w:fldCharType="begin"/>
      </w:r>
      <w:r>
        <w:instrText xml:space="preserve"> PAGEREF _Toc13140 \h </w:instrText>
      </w:r>
      <w:r>
        <w:fldChar w:fldCharType="separate"/>
      </w:r>
      <w:r>
        <w:t>70</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_Toc23446 </w:instrText>
      </w:r>
      <w:r>
        <w:rPr>
          <w:bCs/>
          <w:caps/>
          <w:szCs w:val="21"/>
          <w:highlight w:val="none"/>
        </w:rPr>
        <w:fldChar w:fldCharType="separate"/>
      </w:r>
      <w:r>
        <w:rPr>
          <w:rFonts w:hint="eastAsia"/>
          <w:highlight w:val="none"/>
        </w:rPr>
        <w:t>附件七：</w:t>
      </w:r>
      <w:r>
        <w:rPr>
          <w:rFonts w:hint="eastAsia" w:hAnsi="黑体" w:cs="黑体"/>
          <w:highlight w:val="none"/>
        </w:rPr>
        <w:t>中小微企业声明函</w:t>
      </w:r>
      <w:r>
        <w:tab/>
      </w:r>
      <w:r>
        <w:fldChar w:fldCharType="begin"/>
      </w:r>
      <w:r>
        <w:instrText xml:space="preserve"> PAGEREF _Toc23446 \h </w:instrText>
      </w:r>
      <w:r>
        <w:fldChar w:fldCharType="separate"/>
      </w:r>
      <w:r>
        <w:t>71</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_Toc26129 </w:instrText>
      </w:r>
      <w:r>
        <w:rPr>
          <w:bCs/>
          <w:caps/>
          <w:szCs w:val="21"/>
          <w:highlight w:val="none"/>
        </w:rPr>
        <w:fldChar w:fldCharType="separate"/>
      </w:r>
      <w:r>
        <w:rPr>
          <w:rFonts w:hint="eastAsia"/>
          <w:highlight w:val="none"/>
        </w:rPr>
        <w:t>附件八：</w:t>
      </w:r>
      <w:r>
        <w:rPr>
          <w:rFonts w:hint="eastAsia" w:hAnsi="黑体" w:cs="黑体"/>
          <w:highlight w:val="none"/>
        </w:rPr>
        <w:t>残疾人福利性单位声明函</w:t>
      </w:r>
      <w:r>
        <w:tab/>
      </w:r>
      <w:r>
        <w:fldChar w:fldCharType="begin"/>
      </w:r>
      <w:r>
        <w:instrText xml:space="preserve"> PAGEREF _Toc26129 \h </w:instrText>
      </w:r>
      <w:r>
        <w:fldChar w:fldCharType="separate"/>
      </w:r>
      <w:r>
        <w:t>72</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_Toc15625 </w:instrText>
      </w:r>
      <w:r>
        <w:rPr>
          <w:bCs/>
          <w:caps/>
          <w:szCs w:val="21"/>
          <w:highlight w:val="none"/>
        </w:rPr>
        <w:fldChar w:fldCharType="separate"/>
      </w:r>
      <w:r>
        <w:rPr>
          <w:rFonts w:hint="eastAsia"/>
          <w:highlight w:val="none"/>
        </w:rPr>
        <w:t>附件九：中标服务费承诺</w:t>
      </w:r>
      <w:r>
        <w:tab/>
      </w:r>
      <w:r>
        <w:fldChar w:fldCharType="begin"/>
      </w:r>
      <w:r>
        <w:instrText xml:space="preserve"> PAGEREF _Toc15625 \h </w:instrText>
      </w:r>
      <w:r>
        <w:fldChar w:fldCharType="separate"/>
      </w:r>
      <w:r>
        <w:t>73</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_Toc5205 </w:instrText>
      </w:r>
      <w:r>
        <w:rPr>
          <w:bCs/>
          <w:caps/>
          <w:szCs w:val="21"/>
          <w:highlight w:val="none"/>
        </w:rPr>
        <w:fldChar w:fldCharType="separate"/>
      </w:r>
      <w:r>
        <w:rPr>
          <w:rFonts w:hint="eastAsia"/>
          <w:highlight w:val="none"/>
        </w:rPr>
        <w:t>附件十：投标人提交的其它商务和技术资料</w:t>
      </w:r>
      <w:r>
        <w:tab/>
      </w:r>
      <w:r>
        <w:fldChar w:fldCharType="begin"/>
      </w:r>
      <w:r>
        <w:instrText xml:space="preserve"> PAGEREF _Toc5205 \h </w:instrText>
      </w:r>
      <w:r>
        <w:fldChar w:fldCharType="separate"/>
      </w:r>
      <w:r>
        <w:t>74</w:t>
      </w:r>
      <w:r>
        <w:fldChar w:fldCharType="end"/>
      </w:r>
      <w:r>
        <w:rPr>
          <w:bCs/>
          <w:caps/>
          <w:color w:val="000000" w:themeColor="text1"/>
          <w:szCs w:val="21"/>
          <w:highlight w:val="none"/>
        </w:rPr>
        <w:fldChar w:fldCharType="end"/>
      </w:r>
    </w:p>
    <w:p>
      <w:pPr>
        <w:pStyle w:val="38"/>
        <w:tabs>
          <w:tab w:val="right" w:leader="dot" w:pos="9070"/>
          <w:tab w:val="clear" w:pos="8948"/>
        </w:tabs>
      </w:pPr>
      <w:r>
        <w:rPr>
          <w:bCs/>
          <w:caps/>
          <w:color w:val="000000" w:themeColor="text1"/>
          <w:szCs w:val="21"/>
          <w:highlight w:val="none"/>
        </w:rPr>
        <w:fldChar w:fldCharType="begin"/>
      </w:r>
      <w:r>
        <w:rPr>
          <w:bCs/>
          <w:caps/>
          <w:szCs w:val="21"/>
          <w:highlight w:val="none"/>
        </w:rPr>
        <w:instrText xml:space="preserve"> HYPERLINK \l _Toc31620 </w:instrText>
      </w:r>
      <w:r>
        <w:rPr>
          <w:bCs/>
          <w:caps/>
          <w:szCs w:val="21"/>
          <w:highlight w:val="none"/>
        </w:rPr>
        <w:fldChar w:fldCharType="separate"/>
      </w:r>
      <w:r>
        <w:rPr>
          <w:rFonts w:hint="eastAsia"/>
          <w:highlight w:val="none"/>
        </w:rPr>
        <w:t>其 他 格 式</w:t>
      </w:r>
      <w:r>
        <w:tab/>
      </w:r>
      <w:r>
        <w:fldChar w:fldCharType="begin"/>
      </w:r>
      <w:r>
        <w:instrText xml:space="preserve"> PAGEREF _Toc31620 \h </w:instrText>
      </w:r>
      <w:r>
        <w:fldChar w:fldCharType="separate"/>
      </w:r>
      <w:r>
        <w:t>75</w:t>
      </w:r>
      <w: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_Toc14770 </w:instrText>
      </w:r>
      <w:r>
        <w:rPr>
          <w:bCs/>
          <w:caps/>
          <w:szCs w:val="21"/>
          <w:highlight w:val="none"/>
        </w:rPr>
        <w:fldChar w:fldCharType="separate"/>
      </w:r>
      <w:r>
        <w:rPr>
          <w:rFonts w:hint="eastAsia" w:ascii="宋体" w:hAnsi="宋体" w:eastAsia="宋体"/>
          <w:bCs w:val="0"/>
          <w:highlight w:val="none"/>
        </w:rPr>
        <w:t>投标保证金退付书</w:t>
      </w:r>
      <w:r>
        <w:tab/>
      </w:r>
      <w:r>
        <w:fldChar w:fldCharType="begin"/>
      </w:r>
      <w:r>
        <w:instrText xml:space="preserve"> PAGEREF _Toc14770 \h </w:instrText>
      </w:r>
      <w:r>
        <w:fldChar w:fldCharType="separate"/>
      </w:r>
      <w:r>
        <w:t>76</w:t>
      </w:r>
      <w:r>
        <w:fldChar w:fldCharType="end"/>
      </w:r>
      <w:r>
        <w:rPr>
          <w:bCs/>
          <w:caps/>
          <w:color w:val="000000" w:themeColor="text1"/>
          <w:szCs w:val="21"/>
          <w:highlight w:val="none"/>
        </w:rPr>
        <w:fldChar w:fldCharType="end"/>
      </w:r>
    </w:p>
    <w:p>
      <w:pPr>
        <w:rPr>
          <w:color w:val="000000" w:themeColor="text1"/>
          <w:highlight w:val="none"/>
        </w:rPr>
        <w:sectPr>
          <w:headerReference r:id="rId7" w:type="first"/>
          <w:footerReference r:id="rId8" w:type="first"/>
          <w:headerReference r:id="rId6" w:type="default"/>
          <w:type w:val="continuous"/>
          <w:pgSz w:w="11906" w:h="16838"/>
          <w:pgMar w:top="1474" w:right="1418" w:bottom="1474" w:left="1418" w:header="851" w:footer="851" w:gutter="0"/>
          <w:cols w:space="720" w:num="1"/>
          <w:docGrid w:linePitch="462" w:charSpace="0"/>
        </w:sectPr>
      </w:pPr>
      <w:r>
        <w:rPr>
          <w:bCs/>
          <w:caps/>
          <w:color w:val="000000" w:themeColor="text1"/>
          <w:szCs w:val="21"/>
          <w:highlight w:val="none"/>
        </w:rPr>
        <w:fldChar w:fldCharType="end"/>
      </w:r>
    </w:p>
    <w:bookmarkEnd w:id="0"/>
    <w:p>
      <w:pPr>
        <w:pStyle w:val="3"/>
        <w:numPr>
          <w:ilvl w:val="0"/>
          <w:numId w:val="0"/>
        </w:numPr>
        <w:spacing w:beforeLines="0"/>
        <w:rPr>
          <w:color w:val="000000" w:themeColor="text1"/>
          <w:highlight w:val="none"/>
        </w:rPr>
      </w:pPr>
      <w:bookmarkStart w:id="1" w:name="_Toc337632315"/>
      <w:bookmarkStart w:id="2" w:name="_Toc333935619"/>
      <w:bookmarkStart w:id="3" w:name="_Toc336681892"/>
      <w:bookmarkStart w:id="4" w:name="_Toc333237612"/>
      <w:bookmarkStart w:id="5" w:name="_Toc333237723"/>
      <w:bookmarkStart w:id="6" w:name="_Toc342296708"/>
      <w:bookmarkStart w:id="7" w:name="_Toc339020186"/>
      <w:bookmarkStart w:id="8" w:name="_Toc339020048"/>
      <w:bookmarkStart w:id="9" w:name="_Toc350438702"/>
      <w:bookmarkStart w:id="10" w:name="_Toc333935278"/>
      <w:bookmarkStart w:id="11" w:name="_Toc339362257"/>
      <w:bookmarkStart w:id="12" w:name="_Toc331683994"/>
      <w:bookmarkStart w:id="13" w:name="_Toc350756403"/>
      <w:bookmarkStart w:id="14" w:name="_Toc365967002"/>
      <w:bookmarkStart w:id="15" w:name="_Toc339441044"/>
      <w:bookmarkStart w:id="16" w:name="_Toc339019954"/>
      <w:bookmarkStart w:id="17" w:name="_Toc345513762"/>
      <w:bookmarkStart w:id="18" w:name="_Toc365985108"/>
      <w:bookmarkStart w:id="19" w:name="_Toc332206657"/>
      <w:bookmarkStart w:id="20" w:name="_Toc349127583"/>
      <w:bookmarkStart w:id="21" w:name="_Toc340507403"/>
      <w:bookmarkStart w:id="22" w:name="_Toc333238571"/>
      <w:bookmarkStart w:id="23" w:name="_Toc366072457"/>
      <w:bookmarkStart w:id="24" w:name="_Toc349143546"/>
      <w:bookmarkStart w:id="25" w:name="_Toc340672830"/>
      <w:bookmarkStart w:id="26" w:name="_Toc21642"/>
      <w:bookmarkStart w:id="27" w:name="_Toc336681537"/>
      <w:bookmarkStart w:id="28" w:name="_Toc339019828"/>
      <w:bookmarkStart w:id="29" w:name="_Toc342060322"/>
      <w:bookmarkStart w:id="30" w:name="_Toc331512856"/>
      <w:bookmarkStart w:id="31" w:name="_Toc330459945"/>
      <w:bookmarkStart w:id="32" w:name="_Toc341348291"/>
      <w:bookmarkStart w:id="33" w:name="_Toc332270305"/>
      <w:bookmarkStart w:id="34" w:name="_Toc340677031"/>
      <w:bookmarkStart w:id="35" w:name="_Toc500860978"/>
      <w:r>
        <w:rPr>
          <w:rFonts w:hint="eastAsia"/>
          <w:color w:val="000000" w:themeColor="text1"/>
          <w:highlight w:val="none"/>
        </w:rPr>
        <w:t>第一</w:t>
      </w:r>
      <w:bookmarkStart w:id="36" w:name="_Hlt23321731"/>
      <w:bookmarkEnd w:id="36"/>
      <w:r>
        <w:rPr>
          <w:rFonts w:hint="eastAsia"/>
          <w:color w:val="000000" w:themeColor="text1"/>
          <w:highlight w:val="none"/>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widowControl/>
        <w:tabs>
          <w:tab w:val="left" w:pos="502"/>
          <w:tab w:val="left" w:pos="5145"/>
        </w:tabs>
        <w:adjustRightInd w:val="0"/>
        <w:snapToGrid w:val="0"/>
        <w:spacing w:line="360" w:lineRule="auto"/>
        <w:ind w:left="105" w:leftChars="50" w:firstLine="420" w:firstLineChars="200"/>
        <w:jc w:val="left"/>
        <w:rPr>
          <w:rFonts w:ascii="宋体" w:hAnsi="宋体"/>
          <w:bCs/>
          <w:color w:val="000000" w:themeColor="text1"/>
          <w:highlight w:val="none"/>
        </w:rPr>
      </w:pPr>
      <w:r>
        <w:rPr>
          <w:rFonts w:hint="eastAsia" w:ascii="宋体" w:hAnsi="宋体"/>
          <w:bCs/>
          <w:color w:val="000000" w:themeColor="text1"/>
          <w:highlight w:val="none"/>
        </w:rPr>
        <w:t>广东业信采购招标有限公司（以下简称“代理采购机构”）受</w:t>
      </w:r>
      <w:r>
        <w:rPr>
          <w:rFonts w:hint="eastAsia" w:ascii="宋体" w:hAnsi="宋体"/>
          <w:bCs/>
          <w:color w:val="000000" w:themeColor="text1"/>
          <w:highlight w:val="none"/>
          <w:lang w:eastAsia="zh-CN"/>
        </w:rPr>
        <w:t>阳江市银岭科技新城开发有限公司</w:t>
      </w:r>
      <w:r>
        <w:rPr>
          <w:rFonts w:hint="eastAsia" w:ascii="宋体" w:hAnsi="宋体"/>
          <w:bCs/>
          <w:color w:val="000000" w:themeColor="text1"/>
          <w:highlight w:val="none"/>
        </w:rPr>
        <w:t>（以下简称</w:t>
      </w:r>
      <w:r>
        <w:rPr>
          <w:rFonts w:ascii="宋体" w:hAnsi="宋体"/>
          <w:bCs/>
          <w:color w:val="000000" w:themeColor="text1"/>
          <w:highlight w:val="none"/>
        </w:rPr>
        <w:t>“</w:t>
      </w:r>
      <w:r>
        <w:rPr>
          <w:rFonts w:hint="eastAsia" w:ascii="宋体" w:hAnsi="宋体"/>
          <w:bCs/>
          <w:color w:val="000000" w:themeColor="text1"/>
          <w:highlight w:val="none"/>
        </w:rPr>
        <w:t>采购人</w:t>
      </w:r>
      <w:r>
        <w:rPr>
          <w:rFonts w:ascii="宋体" w:hAnsi="宋体"/>
          <w:bCs/>
          <w:color w:val="000000" w:themeColor="text1"/>
          <w:highlight w:val="none"/>
        </w:rPr>
        <w:t>”</w:t>
      </w:r>
      <w:r>
        <w:rPr>
          <w:rFonts w:hint="eastAsia" w:ascii="宋体" w:hAnsi="宋体"/>
          <w:bCs/>
          <w:color w:val="000000" w:themeColor="text1"/>
          <w:highlight w:val="none"/>
        </w:rPr>
        <w:t>）的委托，就</w:t>
      </w:r>
      <w:r>
        <w:rPr>
          <w:rFonts w:hint="eastAsia" w:ascii="宋体" w:hAnsi="宋体"/>
          <w:bCs/>
          <w:color w:val="000000" w:themeColor="text1"/>
          <w:highlight w:val="none"/>
          <w:lang w:eastAsia="zh-CN"/>
        </w:rPr>
        <w:t>银岭智慧园区安防项目</w:t>
      </w:r>
      <w:r>
        <w:rPr>
          <w:rFonts w:hint="eastAsia" w:ascii="宋体" w:hAnsi="宋体"/>
          <w:bCs/>
          <w:color w:val="000000" w:themeColor="text1"/>
          <w:highlight w:val="none"/>
        </w:rPr>
        <w:t>进行公开招标 (项目编号:</w:t>
      </w:r>
      <w:r>
        <w:rPr>
          <w:rFonts w:ascii="宋体" w:hAnsi="宋体"/>
          <w:bCs/>
          <w:color w:val="000000" w:themeColor="text1"/>
          <w:highlight w:val="none"/>
        </w:rPr>
        <w:t xml:space="preserve"> </w:t>
      </w:r>
      <w:r>
        <w:rPr>
          <w:rFonts w:hint="eastAsia" w:ascii="宋体" w:hAnsi="宋体"/>
          <w:bCs/>
          <w:color w:val="000000" w:themeColor="text1"/>
          <w:highlight w:val="none"/>
          <w:lang w:eastAsia="zh-CN"/>
        </w:rPr>
        <w:t>YXCG-20220710</w:t>
      </w:r>
      <w:r>
        <w:rPr>
          <w:rFonts w:hint="eastAsia" w:ascii="宋体" w:hAnsi="宋体"/>
          <w:bCs/>
          <w:color w:val="000000" w:themeColor="text1"/>
          <w:highlight w:val="none"/>
        </w:rPr>
        <w:t>)，欢迎符合条件的投标人参加。有关事项如下：</w:t>
      </w:r>
    </w:p>
    <w:p>
      <w:pPr>
        <w:widowControl/>
        <w:tabs>
          <w:tab w:val="left" w:pos="502"/>
        </w:tabs>
        <w:adjustRightInd w:val="0"/>
        <w:snapToGrid w:val="0"/>
        <w:spacing w:line="360" w:lineRule="auto"/>
        <w:rPr>
          <w:rFonts w:ascii="Tahoma" w:hAnsi="Tahoma" w:cs="Tahoma"/>
          <w:b/>
          <w:bCs/>
          <w:color w:val="000000" w:themeColor="text1"/>
          <w:szCs w:val="21"/>
          <w:highlight w:val="none"/>
        </w:rPr>
      </w:pPr>
      <w:r>
        <w:rPr>
          <w:rFonts w:hint="eastAsia" w:ascii="宋体" w:hAnsi="宋体" w:cs="Tahoma"/>
          <w:b/>
          <w:bCs/>
          <w:color w:val="000000" w:themeColor="text1"/>
          <w:highlight w:val="none"/>
        </w:rPr>
        <w:t>一、</w:t>
      </w:r>
      <w:r>
        <w:rPr>
          <w:rFonts w:hint="eastAsia" w:ascii="Tahoma" w:hAnsi="Tahoma" w:cs="Tahoma"/>
          <w:b/>
          <w:bCs/>
          <w:color w:val="000000" w:themeColor="text1"/>
          <w:szCs w:val="21"/>
          <w:highlight w:val="none"/>
        </w:rPr>
        <w:t>招标项目的名称、用途、数量、采购方式</w:t>
      </w:r>
    </w:p>
    <w:p>
      <w:pPr>
        <w:widowControl/>
        <w:numPr>
          <w:ilvl w:val="0"/>
          <w:numId w:val="20"/>
        </w:numPr>
        <w:tabs>
          <w:tab w:val="left" w:pos="735"/>
          <w:tab w:val="clear" w:pos="528"/>
        </w:tabs>
        <w:adjustRightInd w:val="0"/>
        <w:snapToGrid w:val="0"/>
        <w:spacing w:line="360" w:lineRule="auto"/>
        <w:ind w:left="1785" w:leftChars="200" w:hanging="1365" w:hangingChars="650"/>
        <w:rPr>
          <w:rFonts w:ascii="宋体" w:hAnsi="宋体"/>
          <w:bCs/>
          <w:color w:val="000000" w:themeColor="text1"/>
          <w:highlight w:val="none"/>
        </w:rPr>
      </w:pPr>
      <w:r>
        <w:rPr>
          <w:rFonts w:hint="eastAsia" w:ascii="宋体" w:hAnsi="宋体"/>
          <w:bCs/>
          <w:color w:val="000000" w:themeColor="text1"/>
          <w:highlight w:val="none"/>
        </w:rPr>
        <w:t>项目名称：</w:t>
      </w:r>
      <w:r>
        <w:rPr>
          <w:rFonts w:hint="eastAsia" w:ascii="宋体" w:hAnsi="宋体"/>
          <w:bCs/>
          <w:color w:val="000000" w:themeColor="text1"/>
          <w:highlight w:val="none"/>
          <w:lang w:eastAsia="zh-CN"/>
        </w:rPr>
        <w:t>银岭智慧园区安防项目</w:t>
      </w:r>
    </w:p>
    <w:p>
      <w:pPr>
        <w:widowControl/>
        <w:numPr>
          <w:ilvl w:val="0"/>
          <w:numId w:val="20"/>
        </w:numPr>
        <w:tabs>
          <w:tab w:val="left" w:pos="735"/>
          <w:tab w:val="clear" w:pos="528"/>
        </w:tabs>
        <w:adjustRightInd w:val="0"/>
        <w:snapToGrid w:val="0"/>
        <w:spacing w:line="360" w:lineRule="auto"/>
        <w:ind w:left="420" w:leftChars="200" w:firstLine="0"/>
        <w:rPr>
          <w:rFonts w:ascii="宋体" w:hAnsi="宋体"/>
          <w:bCs/>
          <w:color w:val="000000" w:themeColor="text1"/>
          <w:highlight w:val="none"/>
        </w:rPr>
      </w:pPr>
      <w:r>
        <w:rPr>
          <w:rFonts w:hint="eastAsia" w:ascii="宋体" w:hAnsi="宋体"/>
          <w:bCs/>
          <w:color w:val="000000" w:themeColor="text1"/>
          <w:highlight w:val="none"/>
        </w:rPr>
        <w:t xml:space="preserve">项目编号: </w:t>
      </w:r>
      <w:r>
        <w:rPr>
          <w:rFonts w:hint="eastAsia" w:ascii="宋体" w:hAnsi="宋体"/>
          <w:bCs/>
          <w:color w:val="000000" w:themeColor="text1"/>
          <w:highlight w:val="none"/>
          <w:lang w:eastAsia="zh-CN"/>
        </w:rPr>
        <w:t>YXCG-20220710</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rPr>
      </w:pPr>
      <w:r>
        <w:rPr>
          <w:rFonts w:hint="eastAsia" w:ascii="宋体" w:hAnsi="宋体"/>
          <w:bCs/>
          <w:color w:val="000000" w:themeColor="text1"/>
          <w:highlight w:val="none"/>
        </w:rPr>
        <w:t>投标报价上限：人民币6286095.06元（超出该上限的投标报价将作为无效投标处理）</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rPr>
      </w:pPr>
      <w:r>
        <w:rPr>
          <w:rFonts w:hint="eastAsia" w:ascii="宋体" w:hAnsi="宋体"/>
          <w:bCs/>
          <w:color w:val="000000" w:themeColor="text1"/>
          <w:highlight w:val="none"/>
        </w:rPr>
        <w:t>数  量：一项</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rPr>
      </w:pPr>
      <w:r>
        <w:rPr>
          <w:rFonts w:hint="eastAsia" w:ascii="宋体" w:hAnsi="宋体"/>
          <w:b w:val="0"/>
          <w:bCs w:val="0"/>
          <w:color w:val="000000" w:themeColor="text1"/>
          <w:szCs w:val="21"/>
          <w:highlight w:val="none"/>
          <w:lang w:eastAsia="zh-CN"/>
        </w:rPr>
        <w:t>完工</w:t>
      </w:r>
      <w:r>
        <w:rPr>
          <w:rFonts w:hint="eastAsia" w:ascii="宋体" w:hAnsi="宋体"/>
          <w:b w:val="0"/>
          <w:bCs w:val="0"/>
          <w:color w:val="000000" w:themeColor="text1"/>
          <w:spacing w:val="-6"/>
          <w:szCs w:val="21"/>
          <w:highlight w:val="none"/>
        </w:rPr>
        <w:t>期：合同签订后3个月内完工</w:t>
      </w:r>
      <w:r>
        <w:rPr>
          <w:rFonts w:hint="eastAsia" w:ascii="宋体" w:hAnsi="宋体"/>
          <w:b w:val="0"/>
          <w:bCs w:val="0"/>
          <w:color w:val="000000" w:themeColor="text1"/>
          <w:spacing w:val="-6"/>
          <w:szCs w:val="21"/>
          <w:highlight w:val="none"/>
          <w:lang w:eastAsia="zh-CN"/>
        </w:rPr>
        <w:t>。</w:t>
      </w:r>
      <w:r>
        <w:rPr>
          <w:rFonts w:hint="eastAsia" w:ascii="宋体" w:hAnsi="宋体"/>
          <w:bCs/>
          <w:color w:val="000000" w:themeColor="text1"/>
          <w:highlight w:val="none"/>
        </w:rPr>
        <w:t>（超出该</w:t>
      </w:r>
      <w:r>
        <w:rPr>
          <w:rFonts w:hint="eastAsia" w:ascii="宋体" w:hAnsi="宋体"/>
          <w:bCs/>
          <w:color w:val="000000" w:themeColor="text1"/>
          <w:highlight w:val="none"/>
          <w:lang w:eastAsia="zh-CN"/>
        </w:rPr>
        <w:t>完工</w:t>
      </w:r>
      <w:r>
        <w:rPr>
          <w:rFonts w:hint="eastAsia" w:ascii="宋体" w:hAnsi="宋体"/>
          <w:bCs/>
          <w:color w:val="000000" w:themeColor="text1"/>
          <w:highlight w:val="none"/>
        </w:rPr>
        <w:t>期将作为无效投标处理）</w:t>
      </w:r>
    </w:p>
    <w:p>
      <w:pPr>
        <w:widowControl/>
        <w:numPr>
          <w:ilvl w:val="0"/>
          <w:numId w:val="20"/>
        </w:numPr>
        <w:tabs>
          <w:tab w:val="left" w:pos="315"/>
          <w:tab w:val="left" w:pos="735"/>
          <w:tab w:val="clear" w:pos="528"/>
        </w:tabs>
        <w:adjustRightInd w:val="0"/>
        <w:snapToGrid w:val="0"/>
        <w:spacing w:line="360" w:lineRule="auto"/>
        <w:ind w:left="420" w:leftChars="200" w:firstLine="0"/>
        <w:rPr>
          <w:rFonts w:ascii="宋体" w:hAnsi="宋体"/>
          <w:bCs/>
          <w:color w:val="000000" w:themeColor="text1"/>
          <w:highlight w:val="none"/>
        </w:rPr>
      </w:pPr>
      <w:r>
        <w:rPr>
          <w:rFonts w:hint="eastAsia" w:ascii="宋体" w:hAnsi="宋体" w:cs="Tahoma"/>
          <w:color w:val="000000" w:themeColor="text1"/>
          <w:kern w:val="28"/>
          <w:szCs w:val="21"/>
          <w:highlight w:val="none"/>
        </w:rPr>
        <w:t>项目采购方式：公开招标</w:t>
      </w:r>
    </w:p>
    <w:p>
      <w:pPr>
        <w:widowControl/>
        <w:tabs>
          <w:tab w:val="left" w:pos="502"/>
        </w:tabs>
        <w:adjustRightInd w:val="0"/>
        <w:snapToGrid w:val="0"/>
        <w:spacing w:line="360" w:lineRule="auto"/>
        <w:rPr>
          <w:rFonts w:ascii="宋体" w:hAnsi="宋体" w:cs="Tahoma"/>
          <w:b/>
          <w:bCs/>
          <w:color w:val="000000" w:themeColor="text1"/>
          <w:highlight w:val="none"/>
        </w:rPr>
      </w:pPr>
      <w:r>
        <w:rPr>
          <w:rFonts w:hint="eastAsia" w:ascii="宋体" w:hAnsi="宋体" w:cs="Tahoma"/>
          <w:b/>
          <w:bCs/>
          <w:color w:val="000000" w:themeColor="text1"/>
          <w:highlight w:val="none"/>
        </w:rPr>
        <w:t>二、投标人资格要求为：</w:t>
      </w:r>
    </w:p>
    <w:p>
      <w:pPr>
        <w:widowControl/>
        <w:tabs>
          <w:tab w:val="left" w:pos="525"/>
        </w:tabs>
        <w:adjustRightInd w:val="0"/>
        <w:snapToGrid w:val="0"/>
        <w:spacing w:line="360" w:lineRule="auto"/>
        <w:ind w:firstLine="420" w:firstLineChars="200"/>
        <w:rPr>
          <w:rFonts w:hint="eastAsia" w:ascii="宋体" w:hAnsi="宋体"/>
          <w:color w:val="000000" w:themeColor="text1"/>
          <w:highlight w:val="none"/>
        </w:rPr>
      </w:pPr>
      <w:r>
        <w:rPr>
          <w:rFonts w:hint="eastAsia" w:ascii="宋体" w:hAnsi="宋体"/>
          <w:color w:val="000000" w:themeColor="text1"/>
          <w:highlight w:val="none"/>
        </w:rPr>
        <w:t>1.投标人应具备《中华人民共和国政府采购法》第二十二条规定的条件：</w:t>
      </w:r>
    </w:p>
    <w:p>
      <w:pPr>
        <w:widowControl/>
        <w:tabs>
          <w:tab w:val="left" w:pos="525"/>
        </w:tabs>
        <w:adjustRightInd w:val="0"/>
        <w:snapToGrid w:val="0"/>
        <w:spacing w:line="360" w:lineRule="auto"/>
        <w:ind w:left="630" w:leftChars="300"/>
        <w:rPr>
          <w:rFonts w:hint="eastAsia" w:ascii="宋体" w:hAnsi="宋体"/>
          <w:color w:val="000000" w:themeColor="text1"/>
          <w:highlight w:val="none"/>
        </w:rPr>
      </w:pPr>
      <w:r>
        <w:rPr>
          <w:rFonts w:hint="eastAsia" w:ascii="宋体" w:hAnsi="宋体"/>
          <w:color w:val="000000" w:themeColor="text1"/>
          <w:highlight w:val="none"/>
        </w:rPr>
        <w:t>1）具有独立承担民事责任的能力：在中华人民共和国境内注册的法人或其他组织或自然人， 投标（响应）时提交有效的营业执照（或事业法人登记证或身份证等相关证明）副本复印件加盖投标供应商公章。分支机构投标的，须提供总公司和分公司营业执照副本复印件，总公司出具给分支机构的授权书。</w:t>
      </w:r>
    </w:p>
    <w:p>
      <w:pPr>
        <w:widowControl/>
        <w:tabs>
          <w:tab w:val="left" w:pos="525"/>
        </w:tabs>
        <w:adjustRightInd w:val="0"/>
        <w:snapToGrid w:val="0"/>
        <w:spacing w:line="360" w:lineRule="auto"/>
        <w:ind w:left="630" w:leftChars="300"/>
        <w:rPr>
          <w:rFonts w:hint="eastAsia" w:ascii="宋体" w:hAnsi="宋体"/>
          <w:color w:val="000000" w:themeColor="text1"/>
          <w:highlight w:val="none"/>
        </w:rPr>
      </w:pPr>
      <w:r>
        <w:rPr>
          <w:rFonts w:hint="eastAsia" w:ascii="宋体" w:hAnsi="宋体"/>
          <w:color w:val="000000" w:themeColor="text1"/>
          <w:highlight w:val="none"/>
        </w:rPr>
        <w:t>2）有依法缴纳税收和社会保障资金的良好记录：提供投标截止日前6个月内任意1个月依法缴纳税收和社会保障资金的相关材料。如依法免税或不需要缴纳社会保障资金的，提供相应证明材料。</w:t>
      </w:r>
    </w:p>
    <w:p>
      <w:pPr>
        <w:widowControl/>
        <w:tabs>
          <w:tab w:val="left" w:pos="525"/>
        </w:tabs>
        <w:adjustRightInd w:val="0"/>
        <w:snapToGrid w:val="0"/>
        <w:spacing w:line="360" w:lineRule="auto"/>
        <w:ind w:left="630" w:leftChars="300"/>
        <w:rPr>
          <w:rFonts w:hint="eastAsia" w:ascii="宋体" w:hAnsi="宋体"/>
          <w:color w:val="000000" w:themeColor="text1"/>
          <w:highlight w:val="none"/>
        </w:rPr>
      </w:pPr>
      <w:r>
        <w:rPr>
          <w:rFonts w:hint="eastAsia" w:ascii="宋体" w:hAnsi="宋体"/>
          <w:color w:val="000000" w:themeColor="text1"/>
          <w:highlight w:val="none"/>
        </w:rPr>
        <w:t>3）具有良好的商业信誉和健全的财务会计制度：①提供2020年或2021年度财务状况报告或基本户开户银行出具的资信证明。</w:t>
      </w:r>
    </w:p>
    <w:p>
      <w:pPr>
        <w:widowControl/>
        <w:tabs>
          <w:tab w:val="left" w:pos="525"/>
        </w:tabs>
        <w:adjustRightInd w:val="0"/>
        <w:snapToGrid w:val="0"/>
        <w:spacing w:line="360" w:lineRule="auto"/>
        <w:ind w:left="630" w:leftChars="300"/>
        <w:rPr>
          <w:rFonts w:hint="eastAsia" w:ascii="宋体" w:hAnsi="宋体"/>
          <w:color w:val="000000" w:themeColor="text1"/>
          <w:highlight w:val="none"/>
        </w:rPr>
      </w:pPr>
      <w:r>
        <w:rPr>
          <w:rFonts w:hint="eastAsia" w:ascii="宋体" w:hAnsi="宋体"/>
          <w:color w:val="000000" w:themeColor="text1"/>
          <w:highlight w:val="none"/>
        </w:rPr>
        <w:t>4）履行合同所必须的设备和专业技术能力。</w:t>
      </w:r>
    </w:p>
    <w:p>
      <w:pPr>
        <w:widowControl/>
        <w:tabs>
          <w:tab w:val="left" w:pos="525"/>
        </w:tabs>
        <w:adjustRightInd w:val="0"/>
        <w:snapToGrid w:val="0"/>
        <w:spacing w:line="360" w:lineRule="auto"/>
        <w:ind w:left="630" w:leftChars="300"/>
        <w:rPr>
          <w:rFonts w:hint="eastAsia" w:ascii="宋体" w:hAnsi="宋体"/>
          <w:color w:val="000000" w:themeColor="text1"/>
          <w:highlight w:val="none"/>
        </w:rPr>
      </w:pPr>
      <w:r>
        <w:rPr>
          <w:rFonts w:hint="eastAsia" w:ascii="宋体" w:hAnsi="宋体"/>
          <w:color w:val="000000" w:themeColor="text1"/>
          <w:highlight w:val="none"/>
        </w:rPr>
        <w:t>5）参加采购活动前3年内，在经营活动中没有重大违法记录：提供无重大违法记录声明函原件。</w:t>
      </w:r>
    </w:p>
    <w:p>
      <w:pPr>
        <w:widowControl/>
        <w:tabs>
          <w:tab w:val="left" w:pos="525"/>
        </w:tabs>
        <w:adjustRightInd w:val="0"/>
        <w:snapToGrid w:val="0"/>
        <w:spacing w:line="360" w:lineRule="auto"/>
        <w:ind w:left="630" w:leftChars="300"/>
        <w:rPr>
          <w:rFonts w:hint="eastAsia" w:ascii="宋体" w:hAnsi="宋体"/>
          <w:color w:val="000000" w:themeColor="text1"/>
          <w:highlight w:val="none"/>
        </w:rPr>
      </w:pPr>
      <w:r>
        <w:rPr>
          <w:rFonts w:hint="eastAsia" w:ascii="宋体" w:hAnsi="宋体"/>
          <w:color w:val="000000" w:themeColor="text1"/>
          <w:highlight w:val="none"/>
        </w:rPr>
        <w:t>6）法律、行政法规规定的其他条件。</w:t>
      </w:r>
    </w:p>
    <w:p>
      <w:pPr>
        <w:widowControl/>
        <w:numPr>
          <w:ilvl w:val="0"/>
          <w:numId w:val="0"/>
        </w:numPr>
        <w:tabs>
          <w:tab w:val="left" w:pos="735"/>
        </w:tabs>
        <w:adjustRightInd w:val="0"/>
        <w:snapToGrid w:val="0"/>
        <w:spacing w:line="360" w:lineRule="auto"/>
        <w:ind w:left="420" w:leftChars="0"/>
        <w:rPr>
          <w:rFonts w:hint="eastAsia" w:ascii="宋体" w:hAnsi="宋体"/>
          <w:color w:val="000000" w:themeColor="text1"/>
          <w:szCs w:val="21"/>
          <w:highlight w:val="none"/>
        </w:rPr>
      </w:pPr>
      <w:r>
        <w:rPr>
          <w:rFonts w:hint="eastAsia" w:ascii="宋体" w:hAnsi="宋体"/>
          <w:color w:val="000000" w:themeColor="text1"/>
          <w:szCs w:val="21"/>
          <w:highlight w:val="none"/>
        </w:rPr>
        <w:t>2.投标人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w:t>
      </w:r>
    </w:p>
    <w:p>
      <w:pPr>
        <w:widowControl/>
        <w:numPr>
          <w:ilvl w:val="0"/>
          <w:numId w:val="0"/>
        </w:numPr>
        <w:tabs>
          <w:tab w:val="left" w:pos="735"/>
        </w:tabs>
        <w:adjustRightInd w:val="0"/>
        <w:snapToGrid w:val="0"/>
        <w:spacing w:line="360" w:lineRule="auto"/>
        <w:ind w:left="420" w:leftChars="0"/>
        <w:rPr>
          <w:rFonts w:hint="eastAsia" w:ascii="宋体" w:hAnsi="宋体"/>
          <w:color w:val="000000" w:themeColor="text1"/>
          <w:szCs w:val="21"/>
          <w:highlight w:val="none"/>
        </w:rPr>
      </w:pPr>
      <w:r>
        <w:rPr>
          <w:rFonts w:hint="eastAsia" w:ascii="宋体" w:hAnsi="宋体"/>
          <w:color w:val="000000" w:themeColor="text1"/>
          <w:szCs w:val="21"/>
          <w:highlight w:val="none"/>
        </w:rPr>
        <w:t>3.单位负责人为同一人或者存在直接控股、管理关系的不同供应商，不得同时参加本采购项目投标。为本项目提供整体设计、规范编制或者项目管理、监理、检测等服务的供应商，不得再参与本项目投标。（提供《投标函》承诺）</w:t>
      </w:r>
    </w:p>
    <w:p>
      <w:pPr>
        <w:widowControl/>
        <w:numPr>
          <w:ilvl w:val="0"/>
          <w:numId w:val="0"/>
        </w:numPr>
        <w:tabs>
          <w:tab w:val="left" w:pos="735"/>
        </w:tabs>
        <w:adjustRightInd w:val="0"/>
        <w:snapToGrid w:val="0"/>
        <w:spacing w:line="360" w:lineRule="auto"/>
        <w:ind w:left="420" w:leftChars="0"/>
        <w:rPr>
          <w:rFonts w:hint="eastAsia" w:ascii="宋体" w:hAnsi="宋体"/>
          <w:color w:val="000000" w:themeColor="text1"/>
          <w:szCs w:val="21"/>
          <w:highlight w:val="none"/>
        </w:rPr>
      </w:pPr>
      <w:r>
        <w:rPr>
          <w:rFonts w:hint="eastAsia" w:ascii="宋体" w:hAnsi="宋体"/>
          <w:color w:val="000000" w:themeColor="text1"/>
          <w:szCs w:val="21"/>
          <w:highlight w:val="none"/>
        </w:rPr>
        <w:t>4.本项目不接受联合体投标；</w:t>
      </w:r>
    </w:p>
    <w:p>
      <w:pPr>
        <w:widowControl/>
        <w:numPr>
          <w:ilvl w:val="0"/>
          <w:numId w:val="0"/>
        </w:numPr>
        <w:tabs>
          <w:tab w:val="left" w:pos="735"/>
        </w:tabs>
        <w:adjustRightInd w:val="0"/>
        <w:snapToGrid w:val="0"/>
        <w:spacing w:line="360" w:lineRule="auto"/>
        <w:ind w:left="420" w:leftChars="0"/>
        <w:rPr>
          <w:rFonts w:ascii="宋体" w:hAnsi="宋体"/>
          <w:color w:val="000000" w:themeColor="text1"/>
          <w:szCs w:val="21"/>
          <w:highlight w:val="none"/>
        </w:rPr>
      </w:pPr>
      <w:r>
        <w:rPr>
          <w:rFonts w:hint="eastAsia" w:ascii="宋体" w:hAnsi="宋体"/>
          <w:color w:val="000000" w:themeColor="text1"/>
          <w:szCs w:val="21"/>
          <w:highlight w:val="none"/>
        </w:rPr>
        <w:t>5.投标人须在招标代理机构登记并购买招标文件。</w:t>
      </w:r>
    </w:p>
    <w:p>
      <w:pPr>
        <w:widowControl/>
        <w:tabs>
          <w:tab w:val="left" w:pos="502"/>
        </w:tabs>
        <w:adjustRightInd w:val="0"/>
        <w:snapToGrid w:val="0"/>
        <w:spacing w:line="360" w:lineRule="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三、</w:t>
      </w:r>
      <w:r>
        <w:rPr>
          <w:rFonts w:ascii="Tahoma" w:hAnsi="Tahoma" w:cs="Tahoma"/>
          <w:b/>
          <w:bCs/>
          <w:color w:val="000000" w:themeColor="text1"/>
          <w:szCs w:val="21"/>
          <w:highlight w:val="none"/>
        </w:rPr>
        <w:t>招标文件的公示</w:t>
      </w:r>
    </w:p>
    <w:p>
      <w:pPr>
        <w:spacing w:line="360" w:lineRule="auto"/>
        <w:ind w:firstLine="210" w:firstLineChars="100"/>
        <w:rPr>
          <w:rFonts w:hint="eastAsia" w:ascii="宋体" w:hAnsi="宋体" w:eastAsia="宋体" w:cs="宋体"/>
          <w:bCs/>
          <w:color w:val="000000" w:themeColor="text1"/>
          <w:highlight w:val="none"/>
        </w:rPr>
      </w:pPr>
      <w:r>
        <w:rPr>
          <w:rFonts w:hint="eastAsia" w:ascii="宋体" w:hAnsi="宋体" w:eastAsia="宋体" w:cs="宋体"/>
          <w:color w:val="000000" w:themeColor="text1"/>
          <w:kern w:val="0"/>
          <w:szCs w:val="21"/>
          <w:highlight w:val="none"/>
        </w:rPr>
        <w:t xml:space="preserve">  1．</w:t>
      </w:r>
      <w:r>
        <w:rPr>
          <w:rFonts w:hint="eastAsia" w:ascii="宋体" w:hAnsi="宋体" w:eastAsia="宋体" w:cs="宋体"/>
          <w:color w:val="000000" w:themeColor="text1"/>
          <w:highlight w:val="none"/>
        </w:rPr>
        <w:t>招标文件公示时</w:t>
      </w:r>
      <w:r>
        <w:rPr>
          <w:rFonts w:hint="eastAsia" w:ascii="宋体" w:hAnsi="宋体" w:eastAsia="宋体" w:cs="宋体"/>
          <w:bCs/>
          <w:color w:val="000000" w:themeColor="text1"/>
          <w:highlight w:val="none"/>
        </w:rPr>
        <w:t xml:space="preserve">间及下载： </w:t>
      </w:r>
      <w:sdt>
        <w:sdtPr>
          <w:rPr>
            <w:rFonts w:hint="eastAsia" w:ascii="宋体" w:hAnsi="宋体" w:eastAsia="宋体" w:cs="宋体"/>
            <w:color w:val="000000" w:themeColor="text1"/>
            <w:highlight w:val="none"/>
          </w:rPr>
          <w:id w:val="785397802"/>
          <w:lock w:val="sdtLocked"/>
          <w:placeholder>
            <w:docPart w:val="EA96D7F7CF1A4A5297711D2BFC5C5079"/>
          </w:placeholder>
          <w:date w:fullDate="2022-07-14T00:00:00Z">
            <w:dateFormat w:val="yyyy'年'M'月'd'日'"/>
            <w:lid w:val="zh-CN"/>
            <w:storeMappedDataAs w:val="datetime"/>
            <w:calendar w:val="gregorian"/>
          </w:date>
        </w:sdtPr>
        <w:sdtEndPr>
          <w:rPr>
            <w:rFonts w:hint="eastAsia" w:ascii="宋体" w:hAnsi="宋体" w:eastAsia="宋体" w:cs="宋体"/>
            <w:color w:val="000000" w:themeColor="text1"/>
            <w:highlight w:val="none"/>
          </w:rPr>
        </w:sdtEndPr>
        <w:sdtContent>
          <w:r>
            <w:rPr>
              <w:rFonts w:hint="eastAsia" w:ascii="宋体" w:hAnsi="宋体" w:eastAsia="宋体" w:cs="宋体"/>
              <w:color w:val="000000" w:themeColor="text1"/>
              <w:kern w:val="2"/>
              <w:sz w:val="21"/>
              <w:szCs w:val="24"/>
              <w:highlight w:val="none"/>
              <w:lang w:val="en-US" w:eastAsia="zh-CN" w:bidi="ar-SA"/>
            </w:rPr>
            <w:t>2022年7月14日</w:t>
          </w:r>
        </w:sdtContent>
      </w:sdt>
      <w:r>
        <w:rPr>
          <w:rFonts w:hint="eastAsia" w:ascii="宋体" w:hAnsi="宋体" w:eastAsia="宋体" w:cs="宋体"/>
          <w:color w:val="000000" w:themeColor="text1"/>
          <w:highlight w:val="none"/>
        </w:rPr>
        <w:t xml:space="preserve"> </w:t>
      </w:r>
      <w:r>
        <w:rPr>
          <w:rFonts w:hint="eastAsia" w:ascii="宋体" w:hAnsi="宋体" w:eastAsia="宋体" w:cs="宋体"/>
          <w:color w:val="000000" w:themeColor="text1"/>
          <w:szCs w:val="21"/>
          <w:highlight w:val="none"/>
        </w:rPr>
        <w:t xml:space="preserve">至  </w:t>
      </w:r>
      <w:r>
        <w:rPr>
          <w:rFonts w:hint="eastAsia" w:ascii="宋体" w:hAnsi="宋体" w:eastAsia="宋体" w:cs="宋体"/>
          <w:color w:val="000000" w:themeColor="text1"/>
          <w:kern w:val="2"/>
          <w:sz w:val="21"/>
          <w:szCs w:val="24"/>
          <w:highlight w:val="none"/>
          <w:lang w:val="en-US" w:eastAsia="zh-CN" w:bidi="ar-SA"/>
        </w:rPr>
        <w:t>2022年7月21日</w:t>
      </w:r>
      <w:r>
        <w:rPr>
          <w:rFonts w:hint="eastAsia" w:ascii="宋体" w:hAnsi="宋体" w:eastAsia="宋体" w:cs="宋体"/>
          <w:bCs/>
          <w:color w:val="000000" w:themeColor="text1"/>
          <w:highlight w:val="none"/>
        </w:rPr>
        <w:t>。</w:t>
      </w:r>
    </w:p>
    <w:p>
      <w:pPr>
        <w:widowControl/>
        <w:adjustRightInd w:val="0"/>
        <w:snapToGrid w:val="0"/>
        <w:spacing w:line="360" w:lineRule="auto"/>
        <w:ind w:left="315" w:leftChars="50" w:hanging="210" w:hangingChars="100"/>
        <w:rPr>
          <w:rFonts w:hint="eastAsia" w:ascii="宋体" w:hAnsi="宋体" w:eastAsia="宋体" w:cs="宋体"/>
          <w:color w:val="000000" w:themeColor="text1"/>
          <w:kern w:val="0"/>
          <w:szCs w:val="21"/>
          <w:highlight w:val="none"/>
        </w:rPr>
      </w:pPr>
      <w:r>
        <w:rPr>
          <w:rFonts w:hint="eastAsia" w:ascii="宋体" w:hAnsi="宋体" w:eastAsia="宋体" w:cs="宋体"/>
          <w:bCs/>
          <w:color w:val="000000" w:themeColor="text1"/>
          <w:highlight w:val="none"/>
        </w:rPr>
        <w:t xml:space="preserve">   2．根据《广东省实施〈中华人民共和国政府采购法〉办法》第三十五条的规定，投标人认为政府采购文件的内容损害其权益</w:t>
      </w:r>
      <w:r>
        <w:rPr>
          <w:rFonts w:hint="eastAsia" w:ascii="宋体" w:hAnsi="宋体" w:eastAsia="宋体" w:cs="宋体"/>
          <w:color w:val="000000" w:themeColor="text1"/>
          <w:kern w:val="0"/>
          <w:szCs w:val="21"/>
          <w:highlight w:val="none"/>
        </w:rPr>
        <w:t>的，可以在公示期间或者自期满之日起七个工作日内以书面形式向采购人或代理采购机构提出质疑。质疑函应当由质疑投标人的法定代表人或主要负责人签字并加盖单位公章，留有联系人及联系电话并提供营业执照复印件、法定代表人（负责人）证明书、授权书、法定代表人（负责人）被授权人身份证复印件，并与代理采购机构工作人员做好确认工作，未被确认的质疑将作为无效质疑，采购人或代理采购机构可不予作答。</w:t>
      </w:r>
    </w:p>
    <w:p>
      <w:pPr>
        <w:widowControl/>
        <w:numPr>
          <w:ilvl w:val="0"/>
          <w:numId w:val="22"/>
        </w:numPr>
        <w:tabs>
          <w:tab w:val="left" w:pos="502"/>
        </w:tabs>
        <w:adjustRightInd w:val="0"/>
        <w:snapToGrid w:val="0"/>
        <w:spacing w:line="360" w:lineRule="auto"/>
        <w:rPr>
          <w:rFonts w:hint="eastAsia" w:ascii="宋体" w:hAnsi="宋体" w:eastAsia="宋体" w:cs="宋体"/>
          <w:b/>
          <w:bCs/>
          <w:color w:val="000000" w:themeColor="text1"/>
          <w:szCs w:val="21"/>
          <w:highlight w:val="none"/>
        </w:rPr>
      </w:pPr>
      <w:r>
        <w:rPr>
          <w:rFonts w:hint="eastAsia" w:ascii="宋体" w:hAnsi="宋体" w:eastAsia="宋体" w:cs="宋体"/>
          <w:b/>
          <w:bCs/>
          <w:color w:val="000000" w:themeColor="text1"/>
          <w:szCs w:val="21"/>
          <w:highlight w:val="none"/>
        </w:rPr>
        <w:t>购买招标文件的时间、地点、方式及招标文件售价</w:t>
      </w:r>
    </w:p>
    <w:p>
      <w:pPr>
        <w:widowControl/>
        <w:tabs>
          <w:tab w:val="left" w:pos="735"/>
        </w:tabs>
        <w:adjustRightInd w:val="0"/>
        <w:snapToGrid w:val="0"/>
        <w:spacing w:line="360" w:lineRule="auto"/>
        <w:ind w:left="315" w:hanging="315" w:hangingChars="150"/>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 xml:space="preserve">  1.购买招标文件</w:t>
      </w:r>
      <w:r>
        <w:rPr>
          <w:rFonts w:hint="eastAsia" w:ascii="宋体" w:hAnsi="宋体" w:eastAsia="宋体" w:cs="宋体"/>
          <w:bCs/>
          <w:color w:val="000000" w:themeColor="text1"/>
          <w:highlight w:val="none"/>
        </w:rPr>
        <w:t>时间：</w:t>
      </w:r>
      <w:r>
        <w:rPr>
          <w:rFonts w:hint="eastAsia" w:ascii="宋体" w:hAnsi="宋体" w:eastAsia="宋体" w:cs="宋体"/>
          <w:color w:val="000000" w:themeColor="text1"/>
          <w:szCs w:val="21"/>
          <w:highlight w:val="none"/>
        </w:rPr>
        <w:t xml:space="preserve"> </w:t>
      </w:r>
      <w:r>
        <w:rPr>
          <w:rFonts w:hint="eastAsia" w:ascii="宋体" w:hAnsi="宋体" w:eastAsia="宋体" w:cs="宋体"/>
          <w:color w:val="000000" w:themeColor="text1"/>
          <w:kern w:val="2"/>
          <w:sz w:val="21"/>
          <w:szCs w:val="24"/>
          <w:highlight w:val="none"/>
          <w:lang w:val="en-US" w:eastAsia="zh-CN" w:bidi="ar-SA"/>
        </w:rPr>
        <w:t>2022年7月14日</w:t>
      </w:r>
      <w:r>
        <w:rPr>
          <w:rFonts w:hint="eastAsia" w:ascii="宋体" w:hAnsi="宋体" w:eastAsia="宋体" w:cs="宋体"/>
          <w:color w:val="000000" w:themeColor="text1"/>
          <w:highlight w:val="none"/>
        </w:rPr>
        <w:t xml:space="preserve"> </w:t>
      </w:r>
      <w:r>
        <w:rPr>
          <w:rFonts w:hint="eastAsia" w:ascii="宋体" w:hAnsi="宋体" w:eastAsia="宋体" w:cs="宋体"/>
          <w:color w:val="000000" w:themeColor="text1"/>
          <w:szCs w:val="21"/>
          <w:highlight w:val="none"/>
        </w:rPr>
        <w:t xml:space="preserve">至  </w:t>
      </w:r>
      <w:r>
        <w:rPr>
          <w:rFonts w:hint="eastAsia" w:ascii="宋体" w:hAnsi="宋体" w:eastAsia="宋体" w:cs="宋体"/>
          <w:color w:val="000000" w:themeColor="text1"/>
          <w:kern w:val="2"/>
          <w:sz w:val="21"/>
          <w:szCs w:val="24"/>
          <w:highlight w:val="none"/>
          <w:lang w:val="en-US" w:eastAsia="zh-CN" w:bidi="ar-SA"/>
        </w:rPr>
        <w:t>2022年7月21日</w:t>
      </w:r>
      <w:r>
        <w:rPr>
          <w:rFonts w:hint="eastAsia" w:ascii="宋体" w:hAnsi="宋体" w:eastAsia="宋体" w:cs="宋体"/>
          <w:bCs/>
          <w:color w:val="000000" w:themeColor="text1"/>
          <w:highlight w:val="none"/>
        </w:rPr>
        <w:t>，上午9:00～12:00，下午2:30～5:30（节假日除外）（北</w:t>
      </w:r>
      <w:r>
        <w:rPr>
          <w:rFonts w:hint="eastAsia" w:ascii="宋体" w:hAnsi="宋体" w:eastAsia="宋体" w:cs="宋体"/>
          <w:color w:val="000000" w:themeColor="text1"/>
          <w:highlight w:val="none"/>
        </w:rPr>
        <w:t>京时间）。</w:t>
      </w:r>
    </w:p>
    <w:p>
      <w:pPr>
        <w:widowControl/>
        <w:tabs>
          <w:tab w:val="left" w:pos="735"/>
        </w:tabs>
        <w:adjustRightInd w:val="0"/>
        <w:snapToGrid w:val="0"/>
        <w:spacing w:line="360" w:lineRule="auto"/>
        <w:rPr>
          <w:rFonts w:ascii="宋体" w:hAnsi="宋体"/>
          <w:bCs/>
          <w:color w:val="000000" w:themeColor="text1"/>
          <w:highlight w:val="none"/>
        </w:rPr>
      </w:pPr>
      <w:r>
        <w:rPr>
          <w:rFonts w:hint="eastAsia" w:ascii="宋体" w:hAnsi="宋体" w:cs="Tahoma"/>
          <w:color w:val="000000" w:themeColor="text1"/>
          <w:highlight w:val="none"/>
        </w:rPr>
        <w:t xml:space="preserve">  2.购买招标文件地点：阳江</w:t>
      </w:r>
      <w:r>
        <w:rPr>
          <w:rFonts w:hint="eastAsia" w:ascii="宋体" w:hAnsi="宋体" w:eastAsia="宋体" w:cs="宋体"/>
          <w:color w:val="000000" w:themeColor="text1"/>
          <w:highlight w:val="none"/>
        </w:rPr>
        <w:t>市江城区猫山四街33号A座2楼</w:t>
      </w:r>
      <w:r>
        <w:rPr>
          <w:rFonts w:hint="eastAsia" w:ascii="宋体" w:hAnsi="宋体" w:eastAsia="宋体" w:cs="宋体"/>
          <w:color w:val="000000" w:themeColor="text1"/>
          <w:szCs w:val="21"/>
          <w:highlight w:val="none"/>
          <w:lang w:val="en-US" w:eastAsia="zh-CN"/>
        </w:rPr>
        <w:t>2</w:t>
      </w:r>
      <w:r>
        <w:rPr>
          <w:rFonts w:hint="eastAsia" w:ascii="宋体" w:hAnsi="宋体" w:eastAsia="宋体" w:cs="宋体"/>
          <w:color w:val="000000" w:themeColor="text1"/>
          <w:szCs w:val="21"/>
          <w:highlight w:val="none"/>
        </w:rPr>
        <w:t>05室。</w:t>
      </w:r>
    </w:p>
    <w:p>
      <w:pPr>
        <w:widowControl/>
        <w:tabs>
          <w:tab w:val="left" w:pos="735"/>
        </w:tabs>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 xml:space="preserve">  3.招标文件售价：</w:t>
      </w:r>
      <w:r>
        <w:rPr>
          <w:rFonts w:hint="eastAsia" w:ascii="宋体" w:hAnsi="宋体"/>
          <w:bCs/>
          <w:color w:val="000000" w:themeColor="text1"/>
          <w:szCs w:val="21"/>
          <w:highlight w:val="none"/>
        </w:rPr>
        <w:t>招标文件每套人民币300元，售后不退</w:t>
      </w:r>
      <w:r>
        <w:rPr>
          <w:rFonts w:hint="eastAsia" w:ascii="宋体" w:hAnsi="宋体"/>
          <w:bCs/>
          <w:color w:val="000000" w:themeColor="text1"/>
          <w:highlight w:val="none"/>
        </w:rPr>
        <w:t>。</w:t>
      </w:r>
    </w:p>
    <w:p>
      <w:pPr>
        <w:widowControl/>
        <w:tabs>
          <w:tab w:val="left" w:pos="735"/>
        </w:tabs>
        <w:adjustRightInd w:val="0"/>
        <w:snapToGrid w:val="0"/>
        <w:spacing w:line="360" w:lineRule="auto"/>
        <w:ind w:left="420" w:leftChars="100" w:hanging="210" w:hangingChars="100"/>
        <w:rPr>
          <w:rFonts w:ascii="宋体" w:hAnsi="宋体"/>
          <w:bCs/>
          <w:color w:val="000000" w:themeColor="text1"/>
          <w:highlight w:val="none"/>
        </w:rPr>
      </w:pPr>
      <w:r>
        <w:rPr>
          <w:rFonts w:hint="eastAsia" w:ascii="宋体" w:hAnsi="宋体"/>
          <w:bCs/>
          <w:color w:val="000000" w:themeColor="text1"/>
          <w:highlight w:val="none"/>
        </w:rPr>
        <w:t>4.招标文件获取方式：现场发售。</w:t>
      </w:r>
    </w:p>
    <w:p>
      <w:pPr>
        <w:widowControl/>
        <w:tabs>
          <w:tab w:val="left" w:pos="735"/>
        </w:tabs>
        <w:adjustRightInd w:val="0"/>
        <w:snapToGrid w:val="0"/>
        <w:spacing w:line="360" w:lineRule="auto"/>
        <w:ind w:left="420" w:leftChars="100" w:hanging="210" w:hangingChars="100"/>
        <w:rPr>
          <w:rFonts w:ascii="宋体" w:hAnsi="宋体"/>
          <w:bCs/>
          <w:color w:val="000000" w:themeColor="text1"/>
          <w:szCs w:val="21"/>
          <w:highlight w:val="none"/>
        </w:rPr>
      </w:pPr>
      <w:r>
        <w:rPr>
          <w:rFonts w:hint="eastAsia" w:ascii="宋体" w:hAnsi="宋体"/>
          <w:bCs/>
          <w:color w:val="000000" w:themeColor="text1"/>
          <w:highlight w:val="none"/>
        </w:rPr>
        <w:t>5.</w:t>
      </w:r>
      <w:r>
        <w:rPr>
          <w:rFonts w:hint="eastAsia" w:ascii="宋体" w:hAnsi="宋体"/>
          <w:bCs/>
          <w:color w:val="000000" w:themeColor="text1"/>
          <w:szCs w:val="21"/>
          <w:highlight w:val="none"/>
        </w:rPr>
        <w:t>购买招标文件必须携带:</w:t>
      </w:r>
    </w:p>
    <w:p>
      <w:pPr>
        <w:widowControl/>
        <w:tabs>
          <w:tab w:val="left" w:pos="735"/>
        </w:tabs>
        <w:adjustRightInd w:val="0"/>
        <w:snapToGrid w:val="0"/>
        <w:spacing w:line="360" w:lineRule="auto"/>
        <w:ind w:left="659" w:leftChars="164" w:hanging="315" w:hangingChars="150"/>
        <w:rPr>
          <w:rFonts w:ascii="宋体" w:hAnsi="宋体"/>
          <w:bCs/>
          <w:color w:val="000000" w:themeColor="text1"/>
          <w:highlight w:val="none"/>
        </w:rPr>
      </w:pPr>
      <w:r>
        <w:rPr>
          <w:rFonts w:hint="eastAsia" w:ascii="宋体" w:hAnsi="宋体"/>
          <w:bCs/>
          <w:color w:val="000000" w:themeColor="text1"/>
          <w:szCs w:val="21"/>
          <w:highlight w:val="none"/>
        </w:rPr>
        <w:t>1）法定代表人（负责人）证明书原件、法定代表人（负责人）授权委托书原件、法定代表人（负责人）身份证复印件、授权委托人身份证复印件、营业执照副本复印件和相关资质证书复印件及《购买标书登记表》（</w:t>
      </w:r>
      <w:r>
        <w:rPr>
          <w:color w:val="000000" w:themeColor="text1"/>
          <w:highlight w:val="none"/>
        </w:rPr>
        <w:fldChar w:fldCharType="begin"/>
      </w:r>
      <w:r>
        <w:rPr>
          <w:color w:val="000000" w:themeColor="text1"/>
          <w:highlight w:val="none"/>
        </w:rPr>
        <w:instrText xml:space="preserve"> HYPERLINK "http://www.yjgpc.gov.cn/" </w:instrText>
      </w:r>
      <w:r>
        <w:rPr>
          <w:color w:val="000000" w:themeColor="text1"/>
          <w:highlight w:val="none"/>
        </w:rPr>
        <w:fldChar w:fldCharType="separate"/>
      </w:r>
      <w:r>
        <w:rPr>
          <w:rStyle w:val="52"/>
          <w:color w:val="000000" w:themeColor="text1"/>
          <w:highlight w:val="none"/>
        </w:rPr>
        <w:t>http://www.yjcg.cc</w:t>
      </w:r>
      <w:r>
        <w:rPr>
          <w:rStyle w:val="52"/>
          <w:color w:val="000000" w:themeColor="text1"/>
          <w:highlight w:val="none"/>
        </w:rPr>
        <w:fldChar w:fldCharType="end"/>
      </w:r>
      <w:r>
        <w:rPr>
          <w:color w:val="000000" w:themeColor="text1"/>
          <w:highlight w:val="none"/>
        </w:rPr>
        <w:fldChar w:fldCharType="begin"/>
      </w:r>
      <w:r>
        <w:rPr>
          <w:color w:val="000000" w:themeColor="text1"/>
          <w:highlight w:val="none"/>
        </w:rPr>
        <w:instrText xml:space="preserve"> HYPERLINK "http://www.yjcg.cc/index.php?c=content&amp;a=list&amp;catid=14" \o "政府采购资料下载" </w:instrText>
      </w:r>
      <w:r>
        <w:rPr>
          <w:color w:val="000000" w:themeColor="text1"/>
          <w:highlight w:val="none"/>
        </w:rPr>
        <w:fldChar w:fldCharType="separate"/>
      </w:r>
      <w:r>
        <w:rPr>
          <w:rStyle w:val="52"/>
          <w:rFonts w:hint="eastAsia" w:ascii="宋体" w:hAnsi="宋体"/>
          <w:bCs/>
          <w:color w:val="000000" w:themeColor="text1"/>
          <w:szCs w:val="21"/>
          <w:highlight w:val="none"/>
        </w:rPr>
        <w:t>政府采购资料</w:t>
      </w:r>
      <w:r>
        <w:rPr>
          <w:rStyle w:val="52"/>
          <w:rFonts w:hint="eastAsia" w:ascii="宋体" w:hAnsi="宋体"/>
          <w:bCs/>
          <w:color w:val="000000" w:themeColor="text1"/>
          <w:szCs w:val="21"/>
          <w:highlight w:val="none"/>
        </w:rPr>
        <w:fldChar w:fldCharType="end"/>
      </w:r>
      <w:r>
        <w:rPr>
          <w:rFonts w:hint="eastAsia" w:ascii="宋体" w:hAnsi="宋体"/>
          <w:bCs/>
          <w:color w:val="000000" w:themeColor="text1"/>
          <w:szCs w:val="21"/>
          <w:highlight w:val="none"/>
        </w:rPr>
        <w:t>下载专区）加盖公章到指定地址购买。</w:t>
      </w:r>
      <w:r>
        <w:rPr>
          <w:rFonts w:hint="eastAsia"/>
          <w:b/>
          <w:bCs/>
          <w:color w:val="000000" w:themeColor="text1"/>
          <w:highlight w:val="none"/>
        </w:rPr>
        <w:t>报名时投标单位的资料与以上报名条件不符合、不齐全、复印件不清晰或未盖红色公章的将不予受理</w:t>
      </w:r>
      <w:r>
        <w:rPr>
          <w:rFonts w:hint="eastAsia" w:ascii="宋体" w:hAnsi="宋体"/>
          <w:bCs/>
          <w:color w:val="000000" w:themeColor="text1"/>
          <w:highlight w:val="none"/>
        </w:rPr>
        <w:t>。</w:t>
      </w:r>
    </w:p>
    <w:p>
      <w:pPr>
        <w:widowControl/>
        <w:tabs>
          <w:tab w:val="left" w:pos="735"/>
        </w:tabs>
        <w:adjustRightInd w:val="0"/>
        <w:snapToGrid w:val="0"/>
        <w:spacing w:line="360" w:lineRule="auto"/>
        <w:ind w:left="660" w:leftChars="164" w:hanging="316" w:hangingChars="150"/>
        <w:rPr>
          <w:rFonts w:ascii="宋体" w:hAnsi="宋体" w:cs="Arial"/>
          <w:b/>
          <w:color w:val="000000" w:themeColor="text1"/>
          <w:highlight w:val="none"/>
        </w:rPr>
      </w:pPr>
      <w:r>
        <w:rPr>
          <w:rFonts w:hint="eastAsia" w:ascii="宋体" w:hAnsi="宋体"/>
          <w:b/>
          <w:bCs/>
          <w:color w:val="000000" w:themeColor="text1"/>
          <w:highlight w:val="none"/>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widowControl/>
        <w:tabs>
          <w:tab w:val="left" w:pos="735"/>
        </w:tabs>
        <w:adjustRightInd w:val="0"/>
        <w:snapToGrid w:val="0"/>
        <w:spacing w:line="360" w:lineRule="auto"/>
        <w:ind w:left="211" w:hanging="211" w:hangingChars="100"/>
        <w:rPr>
          <w:rFonts w:hint="eastAsia" w:ascii="宋体" w:hAnsi="宋体" w:eastAsia="宋体" w:cs="宋体"/>
          <w:b/>
          <w:bCs/>
          <w:color w:val="000000" w:themeColor="text1"/>
          <w:szCs w:val="21"/>
          <w:highlight w:val="none"/>
        </w:rPr>
      </w:pPr>
      <w:r>
        <w:rPr>
          <w:rFonts w:hint="eastAsia" w:ascii="Tahoma" w:hAnsi="Tahoma" w:cs="Tahoma"/>
          <w:b/>
          <w:bCs/>
          <w:color w:val="000000" w:themeColor="text1"/>
          <w:szCs w:val="21"/>
          <w:highlight w:val="none"/>
        </w:rPr>
        <w:t>五、投标截止</w:t>
      </w:r>
      <w:r>
        <w:rPr>
          <w:rFonts w:hint="eastAsia" w:ascii="宋体" w:hAnsi="宋体" w:eastAsia="宋体" w:cs="宋体"/>
          <w:b/>
          <w:bCs/>
          <w:color w:val="000000" w:themeColor="text1"/>
          <w:szCs w:val="21"/>
          <w:highlight w:val="none"/>
        </w:rPr>
        <w:t>时间、开标时间及地点</w:t>
      </w:r>
    </w:p>
    <w:p>
      <w:pPr>
        <w:widowControl/>
        <w:tabs>
          <w:tab w:val="left" w:pos="735"/>
        </w:tabs>
        <w:adjustRightInd w:val="0"/>
        <w:snapToGrid w:val="0"/>
        <w:spacing w:line="360" w:lineRule="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 xml:space="preserve">   1.递交投标文件时间：</w:t>
      </w:r>
      <w:r>
        <w:rPr>
          <w:rFonts w:hint="eastAsia" w:ascii="宋体" w:hAnsi="宋体" w:eastAsia="宋体" w:cs="宋体"/>
          <w:color w:val="000000" w:themeColor="text1"/>
          <w:kern w:val="2"/>
          <w:sz w:val="21"/>
          <w:szCs w:val="24"/>
          <w:highlight w:val="none"/>
          <w:lang w:val="en-US" w:eastAsia="zh-CN" w:bidi="ar-SA"/>
        </w:rPr>
        <w:t>2022年8月4日</w:t>
      </w:r>
      <w:r>
        <w:rPr>
          <w:rFonts w:hint="eastAsia" w:ascii="宋体" w:hAnsi="宋体" w:eastAsia="宋体" w:cs="宋体"/>
          <w:color w:val="000000" w:themeColor="text1"/>
          <w:highlight w:val="none"/>
        </w:rPr>
        <w:t xml:space="preserve"> 9:00-9:30 (北京时间)。</w:t>
      </w:r>
    </w:p>
    <w:p>
      <w:pPr>
        <w:widowControl/>
        <w:tabs>
          <w:tab w:val="left" w:pos="735"/>
        </w:tabs>
        <w:adjustRightInd w:val="0"/>
        <w:snapToGrid w:val="0"/>
        <w:spacing w:line="360" w:lineRule="auto"/>
        <w:rPr>
          <w:rFonts w:ascii="宋体" w:hAnsi="宋体" w:cs="Arial"/>
          <w:color w:val="000000" w:themeColor="text1"/>
          <w:highlight w:val="none"/>
        </w:rPr>
      </w:pPr>
      <w:r>
        <w:rPr>
          <w:rFonts w:hint="eastAsia" w:ascii="宋体" w:hAnsi="宋体" w:eastAsia="宋体" w:cs="宋体"/>
          <w:color w:val="000000" w:themeColor="text1"/>
          <w:highlight w:val="none"/>
        </w:rPr>
        <w:t xml:space="preserve">   2.投标截止时间、开标时间：</w:t>
      </w:r>
      <w:r>
        <w:rPr>
          <w:rFonts w:hint="eastAsia" w:ascii="宋体" w:hAnsi="宋体" w:eastAsia="宋体" w:cs="宋体"/>
          <w:color w:val="000000" w:themeColor="text1"/>
          <w:szCs w:val="21"/>
          <w:highlight w:val="none"/>
        </w:rPr>
        <w:t xml:space="preserve"> </w:t>
      </w:r>
      <w:r>
        <w:rPr>
          <w:rFonts w:hint="eastAsia" w:ascii="宋体" w:hAnsi="宋体" w:eastAsia="宋体" w:cs="宋体"/>
          <w:color w:val="000000" w:themeColor="text1"/>
          <w:kern w:val="2"/>
          <w:sz w:val="21"/>
          <w:szCs w:val="24"/>
          <w:highlight w:val="none"/>
          <w:lang w:val="en-US" w:eastAsia="zh-CN" w:bidi="ar-SA"/>
        </w:rPr>
        <w:t>2022年8月4日</w:t>
      </w:r>
      <w:r>
        <w:rPr>
          <w:rFonts w:hint="eastAsia" w:ascii="宋体" w:hAnsi="宋体" w:eastAsia="宋体" w:cs="宋体"/>
          <w:color w:val="000000" w:themeColor="text1"/>
          <w:szCs w:val="21"/>
          <w:highlight w:val="none"/>
        </w:rPr>
        <w:t xml:space="preserve"> </w:t>
      </w:r>
      <w:r>
        <w:rPr>
          <w:rFonts w:hint="eastAsia" w:ascii="宋体" w:hAnsi="宋体" w:eastAsia="宋体" w:cs="宋体"/>
          <w:color w:val="000000" w:themeColor="text1"/>
          <w:highlight w:val="none"/>
        </w:rPr>
        <w:t>9:30</w:t>
      </w:r>
      <w:r>
        <w:rPr>
          <w:rFonts w:hint="eastAsia" w:ascii="宋体" w:hAnsi="宋体" w:eastAsia="宋体" w:cs="宋体"/>
          <w:color w:val="000000" w:themeColor="text1"/>
          <w:szCs w:val="21"/>
          <w:highlight w:val="none"/>
        </w:rPr>
        <w:t xml:space="preserve"> </w:t>
      </w:r>
      <w:r>
        <w:rPr>
          <w:rFonts w:hint="eastAsia" w:ascii="宋体" w:hAnsi="宋体" w:eastAsia="宋体" w:cs="宋体"/>
          <w:color w:val="000000" w:themeColor="text1"/>
          <w:highlight w:val="none"/>
        </w:rPr>
        <w:t>(北</w:t>
      </w:r>
      <w:r>
        <w:rPr>
          <w:rFonts w:hint="eastAsia" w:ascii="宋体" w:hAnsi="宋体" w:cs="Arial"/>
          <w:color w:val="000000" w:themeColor="text1"/>
          <w:highlight w:val="none"/>
        </w:rPr>
        <w:t>京时间</w:t>
      </w:r>
      <w:r>
        <w:rPr>
          <w:rFonts w:ascii="宋体" w:hAnsi="宋体" w:cs="Arial"/>
          <w:color w:val="000000" w:themeColor="text1"/>
          <w:highlight w:val="none"/>
        </w:rPr>
        <w:t>)</w:t>
      </w:r>
      <w:r>
        <w:rPr>
          <w:rFonts w:hint="eastAsia" w:ascii="宋体" w:hAnsi="宋体" w:cs="Arial"/>
          <w:color w:val="000000" w:themeColor="text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36" w:lineRule="auto"/>
        <w:textAlignment w:val="auto"/>
        <w:rPr>
          <w:rFonts w:ascii="宋体" w:hAnsi="宋体" w:cs="Arial"/>
          <w:color w:val="000000" w:themeColor="text1"/>
          <w:highlight w:val="none"/>
        </w:rPr>
      </w:pPr>
      <w:r>
        <w:rPr>
          <w:rFonts w:hint="eastAsia" w:ascii="宋体" w:hAnsi="宋体" w:cs="Arial"/>
          <w:color w:val="000000" w:themeColor="text1"/>
          <w:highlight w:val="none"/>
        </w:rPr>
        <w:t xml:space="preserve">   </w:t>
      </w:r>
      <w:r>
        <w:rPr>
          <w:rFonts w:hint="eastAsia" w:ascii="宋体" w:hAnsi="宋体" w:cs="Tahoma"/>
          <w:color w:val="000000" w:themeColor="text1"/>
          <w:highlight w:val="none"/>
        </w:rPr>
        <w:t>3.递交投标文件地点、开标地点：阳江市江城区猫山四街33号A座2楼201开标室。</w:t>
      </w:r>
    </w:p>
    <w:p>
      <w:pPr>
        <w:widowControl/>
        <w:tabs>
          <w:tab w:val="left" w:pos="735"/>
        </w:tabs>
        <w:adjustRightInd w:val="0"/>
        <w:snapToGrid w:val="0"/>
        <w:spacing w:line="360" w:lineRule="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六、采购人、代理采购机构的名称、地址和联系方式</w:t>
      </w:r>
    </w:p>
    <w:p>
      <w:pPr>
        <w:widowControl/>
        <w:tabs>
          <w:tab w:val="left" w:pos="630"/>
        </w:tabs>
        <w:adjustRightInd w:val="0"/>
        <w:snapToGrid w:val="0"/>
        <w:spacing w:line="360" w:lineRule="auto"/>
        <w:ind w:firstLine="315" w:firstLineChars="150"/>
        <w:rPr>
          <w:rFonts w:ascii="宋体" w:hAnsi="宋体"/>
          <w:bCs/>
          <w:color w:val="000000" w:themeColor="text1"/>
          <w:highlight w:val="none"/>
        </w:rPr>
      </w:pPr>
      <w:r>
        <w:rPr>
          <w:rFonts w:hint="eastAsia" w:ascii="宋体" w:hAnsi="宋体" w:cs="Tahoma"/>
          <w:color w:val="000000" w:themeColor="text1"/>
          <w:highlight w:val="none"/>
        </w:rPr>
        <w:t>1．采购人联系方式：</w:t>
      </w:r>
    </w:p>
    <w:p>
      <w:pPr>
        <w:tabs>
          <w:tab w:val="left" w:pos="735"/>
          <w:tab w:val="left" w:pos="4680"/>
        </w:tabs>
        <w:adjustRightInd w:val="0"/>
        <w:snapToGrid w:val="0"/>
        <w:spacing w:line="360" w:lineRule="auto"/>
        <w:ind w:firstLine="630" w:firstLineChars="300"/>
        <w:rPr>
          <w:rFonts w:hint="eastAsia" w:ascii="宋体" w:hAnsi="宋体" w:eastAsia="宋体" w:cs="Tahoma"/>
          <w:color w:val="000000" w:themeColor="text1"/>
          <w:kern w:val="28"/>
          <w:szCs w:val="21"/>
          <w:highlight w:val="none"/>
          <w:lang w:eastAsia="zh-CN"/>
        </w:rPr>
      </w:pPr>
      <w:r>
        <w:rPr>
          <w:rFonts w:hint="eastAsia" w:ascii="宋体" w:hAnsi="宋体" w:cs="Tahoma"/>
          <w:color w:val="000000" w:themeColor="text1"/>
          <w:kern w:val="28"/>
          <w:szCs w:val="21"/>
          <w:highlight w:val="none"/>
        </w:rPr>
        <w:t>名    称：</w:t>
      </w:r>
      <w:r>
        <w:rPr>
          <w:rFonts w:hint="eastAsia" w:ascii="宋体" w:hAnsi="宋体" w:cs="Tahoma"/>
          <w:color w:val="000000" w:themeColor="text1"/>
          <w:kern w:val="28"/>
          <w:szCs w:val="21"/>
          <w:highlight w:val="none"/>
          <w:lang w:eastAsia="zh-CN"/>
        </w:rPr>
        <w:t>阳江市银岭科技新城开发有限公司</w:t>
      </w:r>
    </w:p>
    <w:p>
      <w:pPr>
        <w:tabs>
          <w:tab w:val="left" w:pos="735"/>
          <w:tab w:val="left" w:pos="4680"/>
        </w:tabs>
        <w:adjustRightInd w:val="0"/>
        <w:snapToGrid w:val="0"/>
        <w:spacing w:line="360" w:lineRule="auto"/>
        <w:ind w:firstLine="630" w:firstLineChars="300"/>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地    址：阳江市江城银岭科技产业园B3-1-2</w:t>
      </w:r>
    </w:p>
    <w:p>
      <w:pPr>
        <w:tabs>
          <w:tab w:val="left" w:pos="735"/>
          <w:tab w:val="left" w:pos="4680"/>
        </w:tabs>
        <w:adjustRightInd w:val="0"/>
        <w:snapToGrid w:val="0"/>
        <w:spacing w:line="360" w:lineRule="auto"/>
        <w:ind w:firstLine="630" w:firstLineChars="300"/>
        <w:rPr>
          <w:rFonts w:hint="default" w:ascii="宋体" w:hAnsi="宋体" w:eastAsia="宋体" w:cs="Tahoma"/>
          <w:color w:val="000000" w:themeColor="text1"/>
          <w:kern w:val="28"/>
          <w:szCs w:val="21"/>
          <w:highlight w:val="none"/>
          <w:lang w:val="en-US" w:eastAsia="zh-CN"/>
        </w:rPr>
      </w:pPr>
      <w:r>
        <w:rPr>
          <w:rFonts w:hint="eastAsia" w:ascii="宋体" w:hAnsi="宋体" w:cs="Tahoma"/>
          <w:color w:val="000000" w:themeColor="text1"/>
          <w:kern w:val="28"/>
          <w:szCs w:val="21"/>
          <w:highlight w:val="none"/>
        </w:rPr>
        <w:t>联 系 人：</w:t>
      </w:r>
      <w:r>
        <w:rPr>
          <w:rFonts w:hint="eastAsia" w:ascii="宋体" w:hAnsi="宋体" w:cs="Tahoma"/>
          <w:color w:val="000000" w:themeColor="text1"/>
          <w:kern w:val="28"/>
          <w:szCs w:val="21"/>
          <w:highlight w:val="none"/>
          <w:lang w:val="en-US" w:eastAsia="zh-CN"/>
        </w:rPr>
        <w:t>梁欢敢</w:t>
      </w:r>
    </w:p>
    <w:p>
      <w:pPr>
        <w:tabs>
          <w:tab w:val="left" w:pos="735"/>
          <w:tab w:val="left" w:pos="4680"/>
        </w:tabs>
        <w:adjustRightInd w:val="0"/>
        <w:snapToGrid w:val="0"/>
        <w:spacing w:line="360" w:lineRule="auto"/>
        <w:ind w:firstLine="630" w:firstLineChars="300"/>
        <w:rPr>
          <w:rFonts w:hint="default" w:ascii="宋体" w:hAnsi="宋体" w:eastAsia="宋体" w:cs="Tahoma"/>
          <w:color w:val="000000" w:themeColor="text1"/>
          <w:kern w:val="28"/>
          <w:szCs w:val="21"/>
          <w:highlight w:val="none"/>
          <w:lang w:val="en-US" w:eastAsia="zh-CN"/>
        </w:rPr>
      </w:pPr>
      <w:r>
        <w:rPr>
          <w:rFonts w:hint="eastAsia" w:ascii="宋体" w:hAnsi="宋体" w:cs="Tahoma"/>
          <w:color w:val="000000" w:themeColor="text1"/>
          <w:kern w:val="28"/>
          <w:szCs w:val="21"/>
          <w:highlight w:val="none"/>
        </w:rPr>
        <w:t>联系电话：</w:t>
      </w:r>
      <w:r>
        <w:rPr>
          <w:rFonts w:hint="eastAsia" w:ascii="宋体" w:hAnsi="宋体" w:cs="Tahoma"/>
          <w:color w:val="000000" w:themeColor="text1"/>
          <w:kern w:val="28"/>
          <w:szCs w:val="21"/>
          <w:highlight w:val="none"/>
          <w:lang w:val="en-US" w:eastAsia="zh-CN"/>
        </w:rPr>
        <w:t>0662-2202200</w:t>
      </w:r>
    </w:p>
    <w:p>
      <w:pPr>
        <w:tabs>
          <w:tab w:val="left" w:pos="735"/>
          <w:tab w:val="left" w:pos="4680"/>
        </w:tabs>
        <w:adjustRightInd w:val="0"/>
        <w:snapToGrid w:val="0"/>
        <w:spacing w:line="360" w:lineRule="auto"/>
        <w:ind w:firstLine="315" w:firstLineChars="150"/>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2．</w:t>
      </w:r>
      <w:r>
        <w:rPr>
          <w:rFonts w:hint="eastAsia" w:ascii="宋体" w:hAnsi="宋体" w:cs="Tahoma"/>
          <w:color w:val="000000" w:themeColor="text1"/>
          <w:highlight w:val="none"/>
        </w:rPr>
        <w:t>代理采购机构联系方式：</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rPr>
      </w:pPr>
      <w:r>
        <w:rPr>
          <w:rFonts w:hint="eastAsia" w:ascii="宋体" w:hAnsi="宋体" w:cs="Tahoma"/>
          <w:color w:val="000000" w:themeColor="text1"/>
          <w:highlight w:val="none"/>
        </w:rPr>
        <w:t>名    称：广东业信采购招标有限公司</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rPr>
      </w:pPr>
      <w:r>
        <w:rPr>
          <w:rFonts w:hint="eastAsia" w:ascii="宋体" w:hAnsi="宋体" w:cs="Tahoma"/>
          <w:color w:val="000000" w:themeColor="text1"/>
          <w:highlight w:val="none"/>
        </w:rPr>
        <w:t>地    址：阳江市江城区猫山四街33号A座2楼</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rPr>
      </w:pPr>
      <w:r>
        <w:rPr>
          <w:rFonts w:hint="eastAsia" w:ascii="宋体" w:hAnsi="宋体" w:cs="Tahoma"/>
          <w:color w:val="000000" w:themeColor="text1"/>
          <w:highlight w:val="none"/>
        </w:rPr>
        <w:t>联 系 人：冯国辉</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rPr>
      </w:pPr>
      <w:r>
        <w:rPr>
          <w:rFonts w:hint="eastAsia" w:ascii="宋体" w:hAnsi="宋体" w:cs="Tahoma"/>
          <w:color w:val="000000" w:themeColor="text1"/>
          <w:highlight w:val="none"/>
        </w:rPr>
        <w:t>联系电话：0662-3167266</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rPr>
      </w:pPr>
      <w:r>
        <w:rPr>
          <w:rFonts w:hint="eastAsia" w:ascii="宋体" w:hAnsi="宋体" w:cs="Tahoma"/>
          <w:color w:val="000000" w:themeColor="text1"/>
          <w:highlight w:val="none"/>
        </w:rPr>
        <w:t>传    真：0662-2669666</w:t>
      </w:r>
    </w:p>
    <w:p>
      <w:pPr>
        <w:tabs>
          <w:tab w:val="left" w:pos="4680"/>
        </w:tabs>
        <w:adjustRightInd w:val="0"/>
        <w:snapToGrid w:val="0"/>
        <w:spacing w:line="360" w:lineRule="auto"/>
        <w:ind w:firstLine="630" w:firstLineChars="300"/>
        <w:rPr>
          <w:rFonts w:ascii="宋体" w:hAnsi="宋体"/>
          <w:bCs/>
          <w:color w:val="000000" w:themeColor="text1"/>
          <w:highlight w:val="none"/>
        </w:rPr>
      </w:pPr>
      <w:r>
        <w:rPr>
          <w:rFonts w:hint="eastAsia" w:ascii="宋体" w:hAnsi="宋体" w:cs="Tahoma"/>
          <w:color w:val="000000" w:themeColor="text1"/>
          <w:highlight w:val="none"/>
        </w:rPr>
        <w:t>网    址：</w:t>
      </w:r>
      <w:r>
        <w:rPr>
          <w:rFonts w:ascii="宋体" w:hAnsi="宋体"/>
          <w:bCs/>
          <w:color w:val="000000" w:themeColor="text1"/>
          <w:highlight w:val="none"/>
        </w:rPr>
        <w:t>http://www.</w:t>
      </w:r>
      <w:r>
        <w:rPr>
          <w:rFonts w:hint="eastAsia" w:ascii="宋体" w:hAnsi="宋体"/>
          <w:bCs/>
          <w:color w:val="000000" w:themeColor="text1"/>
          <w:highlight w:val="none"/>
        </w:rPr>
        <w:t>yjcg</w:t>
      </w:r>
      <w:r>
        <w:rPr>
          <w:rFonts w:ascii="宋体" w:hAnsi="宋体"/>
          <w:bCs/>
          <w:color w:val="000000" w:themeColor="text1"/>
          <w:highlight w:val="none"/>
        </w:rPr>
        <w:t>.</w:t>
      </w:r>
      <w:r>
        <w:rPr>
          <w:rFonts w:hint="eastAsia" w:ascii="宋体" w:hAnsi="宋体"/>
          <w:bCs/>
          <w:color w:val="000000" w:themeColor="text1"/>
          <w:highlight w:val="none"/>
        </w:rPr>
        <w:t>cc</w:t>
      </w:r>
    </w:p>
    <w:p>
      <w:pPr>
        <w:widowControl/>
        <w:adjustRightInd w:val="0"/>
        <w:snapToGrid w:val="0"/>
        <w:spacing w:line="360" w:lineRule="auto"/>
        <w:rPr>
          <w:rFonts w:ascii="宋体" w:hAnsi="宋体"/>
          <w:b/>
          <w:color w:val="000000" w:themeColor="text1"/>
          <w:spacing w:val="20"/>
          <w:szCs w:val="21"/>
          <w:highlight w:val="none"/>
        </w:rPr>
      </w:pPr>
    </w:p>
    <w:p>
      <w:pPr>
        <w:widowControl/>
        <w:tabs>
          <w:tab w:val="left" w:pos="4769"/>
        </w:tabs>
        <w:adjustRightInd w:val="0"/>
        <w:snapToGrid w:val="0"/>
        <w:spacing w:line="360" w:lineRule="auto"/>
        <w:ind w:left="105" w:leftChars="50" w:firstLine="420" w:firstLineChars="200"/>
        <w:jc w:val="center"/>
        <w:rPr>
          <w:rFonts w:hint="eastAsia" w:ascii="宋体" w:hAnsi="宋体" w:eastAsia="宋体" w:cs="宋体"/>
          <w:bCs/>
          <w:color w:val="000000" w:themeColor="text1"/>
          <w:highlight w:val="none"/>
        </w:rPr>
      </w:pPr>
      <w:r>
        <w:rPr>
          <w:rFonts w:hint="eastAsia" w:ascii="宋体" w:hAnsi="宋体"/>
          <w:bCs/>
          <w:color w:val="000000" w:themeColor="text1"/>
          <w:highlight w:val="none"/>
        </w:rPr>
        <w:t xml:space="preserve">                                </w:t>
      </w:r>
      <w:r>
        <w:rPr>
          <w:rFonts w:hint="eastAsia" w:ascii="宋体" w:hAnsi="宋体"/>
          <w:bCs/>
          <w:color w:val="000000" w:themeColor="text1"/>
          <w:highlight w:val="none"/>
          <w:lang w:val="en-US" w:eastAsia="zh-CN"/>
        </w:rPr>
        <w:t xml:space="preserve">             </w:t>
      </w:r>
      <w:r>
        <w:rPr>
          <w:rFonts w:hint="eastAsia" w:ascii="宋体" w:hAnsi="宋体"/>
          <w:bCs/>
          <w:color w:val="000000" w:themeColor="text1"/>
          <w:highlight w:val="none"/>
        </w:rPr>
        <w:t xml:space="preserve"> </w:t>
      </w:r>
      <w:r>
        <w:rPr>
          <w:rFonts w:hint="eastAsia" w:ascii="宋体" w:hAnsi="宋体"/>
          <w:bCs/>
          <w:color w:val="000000" w:themeColor="text1"/>
          <w:highlight w:val="none"/>
          <w:lang w:val="en-US" w:eastAsia="zh-CN"/>
        </w:rPr>
        <w:t xml:space="preserve">       </w:t>
      </w:r>
      <w:r>
        <w:rPr>
          <w:rFonts w:hint="eastAsia" w:ascii="宋体" w:hAnsi="宋体"/>
          <w:bCs/>
          <w:color w:val="000000" w:themeColor="text1"/>
          <w:highlight w:val="none"/>
        </w:rPr>
        <w:t xml:space="preserve">  广</w:t>
      </w:r>
      <w:r>
        <w:rPr>
          <w:rFonts w:hint="eastAsia" w:ascii="宋体" w:hAnsi="宋体" w:eastAsia="宋体" w:cs="宋体"/>
          <w:bCs/>
          <w:color w:val="000000" w:themeColor="text1"/>
          <w:highlight w:val="none"/>
        </w:rPr>
        <w:t>东业信采购招标有限公司</w:t>
      </w:r>
    </w:p>
    <w:p>
      <w:pPr>
        <w:widowControl/>
        <w:tabs>
          <w:tab w:val="left" w:pos="4769"/>
        </w:tabs>
        <w:adjustRightInd w:val="0"/>
        <w:snapToGrid w:val="0"/>
        <w:spacing w:line="360" w:lineRule="auto"/>
        <w:ind w:left="105" w:leftChars="50" w:firstLine="420" w:firstLineChars="200"/>
        <w:jc w:val="center"/>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 xml:space="preserve">                                 </w:t>
      </w:r>
      <w:bookmarkStart w:id="37" w:name="_Toc365985109"/>
      <w:bookmarkStart w:id="38" w:name="_Toc350756404"/>
      <w:bookmarkStart w:id="39" w:name="_Toc331683995"/>
      <w:bookmarkStart w:id="40" w:name="_Toc339019955"/>
      <w:bookmarkStart w:id="41" w:name="_Toc333935620"/>
      <w:bookmarkStart w:id="42" w:name="_Toc366072458"/>
      <w:bookmarkStart w:id="43" w:name="_Toc342296709"/>
      <w:bookmarkStart w:id="44" w:name="_Toc340507404"/>
      <w:bookmarkStart w:id="45" w:name="_Toc350438703"/>
      <w:bookmarkStart w:id="46" w:name="_Toc339020049"/>
      <w:bookmarkStart w:id="47" w:name="_Toc340672831"/>
      <w:bookmarkStart w:id="48" w:name="_Toc330459946"/>
      <w:bookmarkStart w:id="49" w:name="_Toc336681538"/>
      <w:bookmarkStart w:id="50" w:name="_Toc332206658"/>
      <w:bookmarkStart w:id="51" w:name="_Toc345513763"/>
      <w:bookmarkStart w:id="52" w:name="_Toc339362258"/>
      <w:bookmarkStart w:id="53" w:name="_Toc336681893"/>
      <w:bookmarkStart w:id="54" w:name="_Toc339441045"/>
      <w:bookmarkStart w:id="55" w:name="_Toc333237724"/>
      <w:bookmarkStart w:id="56" w:name="_Toc339020187"/>
      <w:bookmarkStart w:id="57" w:name="_Toc333238572"/>
      <w:bookmarkStart w:id="58" w:name="_Toc339019829"/>
      <w:bookmarkStart w:id="59" w:name="_Toc341348292"/>
      <w:bookmarkStart w:id="60" w:name="_Toc365967003"/>
      <w:bookmarkStart w:id="61" w:name="_Toc333935279"/>
      <w:bookmarkStart w:id="62" w:name="_Toc340677032"/>
      <w:bookmarkStart w:id="63" w:name="_Toc337632316"/>
      <w:bookmarkStart w:id="64" w:name="_Toc331512857"/>
      <w:bookmarkStart w:id="65" w:name="_Toc332270306"/>
      <w:bookmarkStart w:id="66" w:name="_Toc349127584"/>
      <w:bookmarkStart w:id="67" w:name="_Toc342060323"/>
      <w:bookmarkStart w:id="68" w:name="_Toc349143547"/>
      <w:bookmarkStart w:id="69" w:name="_Toc333237613"/>
      <w:r>
        <w:rPr>
          <w:rFonts w:hint="eastAsia" w:ascii="宋体" w:hAnsi="宋体" w:eastAsia="宋体" w:cs="宋体"/>
          <w:color w:val="000000" w:themeColor="text1"/>
          <w:szCs w:val="21"/>
          <w:highlight w:val="none"/>
        </w:rPr>
        <w:t xml:space="preserve">  </w:t>
      </w:r>
      <w:r>
        <w:rPr>
          <w:rFonts w:hint="eastAsia" w:ascii="宋体" w:hAnsi="宋体" w:eastAsia="宋体" w:cs="宋体"/>
          <w:color w:val="000000" w:themeColor="text1"/>
          <w:szCs w:val="21"/>
          <w:highlight w:val="none"/>
          <w:lang w:val="en-US" w:eastAsia="zh-CN"/>
        </w:rPr>
        <w:t xml:space="preserve">                   </w:t>
      </w:r>
      <w:bookmarkStart w:id="2173" w:name="_GoBack"/>
      <w:bookmarkEnd w:id="2173"/>
      <w:r>
        <w:rPr>
          <w:rFonts w:hint="eastAsia" w:ascii="宋体" w:hAnsi="宋体" w:eastAsia="宋体" w:cs="宋体"/>
          <w:color w:val="000000" w:themeColor="text1"/>
          <w:szCs w:val="21"/>
          <w:highlight w:val="none"/>
          <w:lang w:val="en-US" w:eastAsia="zh-CN"/>
        </w:rPr>
        <w:t xml:space="preserve">   </w:t>
      </w:r>
      <w:r>
        <w:rPr>
          <w:rFonts w:hint="eastAsia" w:ascii="宋体" w:hAnsi="宋体" w:eastAsia="宋体" w:cs="宋体"/>
          <w:color w:val="000000" w:themeColor="text1"/>
          <w:szCs w:val="21"/>
          <w:highlight w:val="none"/>
        </w:rPr>
        <w:t xml:space="preserve">  </w:t>
      </w:r>
      <w:r>
        <w:rPr>
          <w:rFonts w:hint="eastAsia" w:ascii="宋体" w:hAnsi="宋体" w:eastAsia="宋体" w:cs="宋体"/>
          <w:color w:val="000000" w:themeColor="text1"/>
          <w:kern w:val="2"/>
          <w:sz w:val="21"/>
          <w:szCs w:val="24"/>
          <w:highlight w:val="none"/>
          <w:lang w:val="en-US" w:eastAsia="zh-CN" w:bidi="ar-SA"/>
        </w:rPr>
        <w:t>2022年7月14日</w:t>
      </w:r>
    </w:p>
    <w:p>
      <w:pPr>
        <w:rPr>
          <w:color w:val="000000" w:themeColor="text1"/>
          <w:highlight w:val="none"/>
        </w:rPr>
      </w:pPr>
    </w:p>
    <w:p>
      <w:pPr>
        <w:rPr>
          <w:color w:val="000000" w:themeColor="text1"/>
          <w:highlight w:val="none"/>
        </w:rPr>
      </w:pPr>
    </w:p>
    <w:p>
      <w:pPr>
        <w:pStyle w:val="46"/>
        <w:rPr>
          <w:color w:val="000000" w:themeColor="text1"/>
          <w:highlight w:val="none"/>
        </w:rPr>
      </w:pPr>
    </w:p>
    <w:p>
      <w:pPr>
        <w:pStyle w:val="46"/>
        <w:rPr>
          <w:color w:val="000000" w:themeColor="text1"/>
          <w:highlight w:val="none"/>
        </w:rPr>
      </w:pPr>
    </w:p>
    <w:p>
      <w:pPr>
        <w:pStyle w:val="46"/>
        <w:rPr>
          <w:color w:val="000000" w:themeColor="text1"/>
          <w:highlight w:val="none"/>
        </w:rPr>
      </w:pPr>
    </w:p>
    <w:p>
      <w:pPr>
        <w:pStyle w:val="46"/>
        <w:rPr>
          <w:color w:val="000000" w:themeColor="text1"/>
          <w:highlight w:val="none"/>
        </w:rPr>
      </w:pPr>
    </w:p>
    <w:p>
      <w:pPr>
        <w:pStyle w:val="46"/>
        <w:rPr>
          <w:color w:val="000000" w:themeColor="text1"/>
          <w:highlight w:val="none"/>
        </w:rPr>
      </w:pPr>
    </w:p>
    <w:p>
      <w:pPr>
        <w:pStyle w:val="46"/>
        <w:rPr>
          <w:color w:val="000000" w:themeColor="text1"/>
          <w:highlight w:val="none"/>
        </w:rPr>
      </w:pPr>
    </w:p>
    <w:p>
      <w:pPr>
        <w:pStyle w:val="46"/>
        <w:rPr>
          <w:color w:val="000000" w:themeColor="text1"/>
          <w:highlight w:val="none"/>
        </w:rPr>
      </w:pPr>
    </w:p>
    <w:p>
      <w:pPr>
        <w:pStyle w:val="46"/>
        <w:rPr>
          <w:color w:val="000000" w:themeColor="text1"/>
          <w:highlight w:val="none"/>
        </w:rPr>
      </w:pPr>
    </w:p>
    <w:p>
      <w:pPr>
        <w:pStyle w:val="46"/>
        <w:rPr>
          <w:color w:val="000000" w:themeColor="text1"/>
          <w:highlight w:val="none"/>
        </w:rPr>
      </w:pPr>
    </w:p>
    <w:p>
      <w:pPr>
        <w:pStyle w:val="46"/>
        <w:rPr>
          <w:color w:val="000000" w:themeColor="text1"/>
          <w:highlight w:val="none"/>
        </w:rPr>
      </w:pPr>
    </w:p>
    <w:p>
      <w:pPr>
        <w:pStyle w:val="46"/>
        <w:rPr>
          <w:color w:val="000000" w:themeColor="text1"/>
          <w:highlight w:val="none"/>
        </w:rPr>
      </w:pPr>
    </w:p>
    <w:p>
      <w:pPr>
        <w:pStyle w:val="46"/>
        <w:rPr>
          <w:color w:val="000000" w:themeColor="text1"/>
          <w:highlight w:val="none"/>
        </w:rPr>
      </w:pPr>
    </w:p>
    <w:p>
      <w:pPr>
        <w:pStyle w:val="46"/>
        <w:rPr>
          <w:color w:val="000000" w:themeColor="text1"/>
          <w:highlight w:val="none"/>
        </w:rPr>
      </w:pPr>
    </w:p>
    <w:p>
      <w:pPr>
        <w:pStyle w:val="46"/>
        <w:rPr>
          <w:color w:val="000000" w:themeColor="text1"/>
          <w:highlight w:val="none"/>
        </w:rPr>
      </w:pPr>
    </w:p>
    <w:p>
      <w:pPr>
        <w:pStyle w:val="46"/>
        <w:rPr>
          <w:color w:val="000000" w:themeColor="text1"/>
          <w:highlight w:val="none"/>
        </w:rPr>
      </w:pPr>
    </w:p>
    <w:p>
      <w:pPr>
        <w:pStyle w:val="46"/>
        <w:rPr>
          <w:color w:val="000000" w:themeColor="text1"/>
          <w:highlight w:val="none"/>
        </w:rPr>
      </w:pPr>
    </w:p>
    <w:p>
      <w:pPr>
        <w:pStyle w:val="46"/>
        <w:rPr>
          <w:color w:val="000000" w:themeColor="text1"/>
          <w:highlight w:val="none"/>
        </w:rPr>
      </w:pPr>
    </w:p>
    <w:p>
      <w:pPr>
        <w:pStyle w:val="46"/>
        <w:rPr>
          <w:color w:val="000000" w:themeColor="text1"/>
          <w:highlight w:val="none"/>
        </w:rPr>
      </w:pPr>
    </w:p>
    <w:p>
      <w:pPr>
        <w:pStyle w:val="46"/>
        <w:rPr>
          <w:color w:val="000000" w:themeColor="text1"/>
          <w:highlight w:val="none"/>
        </w:rPr>
      </w:pPr>
    </w:p>
    <w:p>
      <w:pPr>
        <w:pStyle w:val="46"/>
        <w:rPr>
          <w:color w:val="000000" w:themeColor="text1"/>
          <w:highlight w:val="none"/>
        </w:rPr>
      </w:pPr>
    </w:p>
    <w:p>
      <w:pPr>
        <w:pStyle w:val="46"/>
        <w:rPr>
          <w:color w:val="000000" w:themeColor="text1"/>
          <w:highlight w:val="none"/>
        </w:rPr>
      </w:pPr>
    </w:p>
    <w:p>
      <w:pPr>
        <w:rPr>
          <w:color w:val="000000" w:themeColor="text1"/>
          <w:highlight w:val="none"/>
        </w:rPr>
      </w:pPr>
    </w:p>
    <w:p>
      <w:pPr>
        <w:rPr>
          <w:color w:val="000000" w:themeColor="text1"/>
          <w:highlight w:val="none"/>
        </w:rPr>
      </w:pPr>
    </w:p>
    <w:p>
      <w:pPr>
        <w:pStyle w:val="3"/>
        <w:numPr>
          <w:ilvl w:val="0"/>
          <w:numId w:val="0"/>
        </w:numPr>
        <w:spacing w:beforeLines="0" w:afterLines="50" w:line="390" w:lineRule="exact"/>
        <w:ind w:left="105" w:leftChars="50" w:firstLine="480" w:firstLineChars="200"/>
        <w:rPr>
          <w:color w:val="000000" w:themeColor="text1"/>
          <w:highlight w:val="none"/>
        </w:rPr>
      </w:pPr>
      <w:bookmarkStart w:id="70" w:name="_Toc18232"/>
      <w:r>
        <w:rPr>
          <w:rFonts w:hint="eastAsia"/>
          <w:color w:val="000000" w:themeColor="text1"/>
          <w:highlight w:val="none"/>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935280"/>
      <w:bookmarkStart w:id="73" w:name="_Toc333237725"/>
      <w:bookmarkStart w:id="74" w:name="_Toc333935621"/>
      <w:bookmarkStart w:id="75" w:name="_Toc75570886"/>
      <w:bookmarkStart w:id="76" w:name="_Toc333237614"/>
      <w:bookmarkStart w:id="77" w:name="_Toc330459949"/>
      <w:bookmarkStart w:id="78" w:name="_Toc333238573"/>
      <w:r>
        <w:rPr>
          <w:rFonts w:hint="eastAsia"/>
          <w:color w:val="000000" w:themeColor="text1"/>
          <w:highlight w:val="none"/>
        </w:rPr>
        <w:t>采购项目内容</w:t>
      </w:r>
      <w:bookmarkEnd w:id="70"/>
    </w:p>
    <w:bookmarkEnd w:id="72"/>
    <w:bookmarkEnd w:id="73"/>
    <w:bookmarkEnd w:id="74"/>
    <w:bookmarkEnd w:id="75"/>
    <w:bookmarkEnd w:id="76"/>
    <w:bookmarkEnd w:id="77"/>
    <w:bookmarkEnd w:id="78"/>
    <w:p>
      <w:pPr>
        <w:pStyle w:val="4"/>
        <w:numPr>
          <w:ilvl w:val="0"/>
          <w:numId w:val="0"/>
        </w:numPr>
        <w:spacing w:beforeLines="150" w:after="0" w:line="360" w:lineRule="auto"/>
        <w:rPr>
          <w:color w:val="000000" w:themeColor="text1"/>
          <w:kern w:val="0"/>
          <w:sz w:val="24"/>
          <w:highlight w:val="none"/>
        </w:rPr>
      </w:pPr>
      <w:bookmarkStart w:id="79" w:name="_Toc367"/>
      <w:bookmarkStart w:id="80" w:name="_Toc345513834"/>
      <w:bookmarkStart w:id="81" w:name="_Toc349143556"/>
      <w:bookmarkStart w:id="82" w:name="_Toc337632325"/>
      <w:bookmarkStart w:id="83" w:name="_Toc340507409"/>
      <w:bookmarkStart w:id="84" w:name="_Toc330459952"/>
      <w:bookmarkStart w:id="85" w:name="_Toc341348305"/>
      <w:bookmarkStart w:id="86" w:name="_Toc350438716"/>
      <w:bookmarkStart w:id="87" w:name="_Toc339441054"/>
      <w:bookmarkStart w:id="88" w:name="_Toc336681547"/>
      <w:bookmarkStart w:id="89" w:name="_Toc333935654"/>
      <w:bookmarkStart w:id="90" w:name="_Toc339019982"/>
      <w:bookmarkStart w:id="91" w:name="_Toc336681902"/>
      <w:bookmarkStart w:id="92" w:name="_Toc340677037"/>
      <w:bookmarkStart w:id="93" w:name="_Toc333237644"/>
      <w:bookmarkStart w:id="94" w:name="_Toc339020062"/>
      <w:bookmarkStart w:id="95" w:name="_Toc339020200"/>
      <w:bookmarkStart w:id="96" w:name="_Toc339019856"/>
      <w:bookmarkStart w:id="97" w:name="_Toc331512865"/>
      <w:bookmarkStart w:id="98" w:name="_Toc365985146"/>
      <w:bookmarkStart w:id="99" w:name="_Toc365967040"/>
      <w:bookmarkStart w:id="100" w:name="_Toc366072495"/>
      <w:bookmarkStart w:id="101" w:name="_Toc340672836"/>
      <w:bookmarkStart w:id="102" w:name="_Toc342296727"/>
      <w:bookmarkStart w:id="103" w:name="_Toc333935313"/>
      <w:bookmarkStart w:id="104" w:name="_Toc331684005"/>
      <w:bookmarkStart w:id="105" w:name="_Toc333238600"/>
      <w:bookmarkStart w:id="106" w:name="_Toc332206675"/>
      <w:bookmarkStart w:id="107" w:name="_Toc332270313"/>
      <w:bookmarkStart w:id="108" w:name="_Toc342060341"/>
      <w:bookmarkStart w:id="109" w:name="_Toc350756417"/>
      <w:bookmarkStart w:id="110" w:name="_Toc333237755"/>
      <w:bookmarkStart w:id="111" w:name="_Toc349127593"/>
      <w:bookmarkStart w:id="112" w:name="_Toc339362267"/>
      <w:r>
        <w:rPr>
          <w:color w:val="000000" w:themeColor="text1"/>
          <w:kern w:val="0"/>
          <w:sz w:val="24"/>
          <w:highlight w:val="none"/>
        </w:rPr>
        <w:t xml:space="preserve">A  </w:t>
      </w:r>
      <w:r>
        <w:rPr>
          <w:rFonts w:hint="eastAsia"/>
          <w:color w:val="000000" w:themeColor="text1"/>
          <w:kern w:val="0"/>
          <w:sz w:val="24"/>
          <w:highlight w:val="none"/>
        </w:rPr>
        <w:t>商务要求</w:t>
      </w:r>
      <w:bookmarkEnd w:id="79"/>
    </w:p>
    <w:tbl>
      <w:tblPr>
        <w:tblStyle w:val="47"/>
        <w:tblW w:w="96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项  目</w:t>
            </w:r>
          </w:p>
        </w:tc>
        <w:tc>
          <w:tcPr>
            <w:tcW w:w="6456"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b/>
                <w:color w:val="000000" w:themeColor="text1"/>
                <w:highlight w:val="none"/>
              </w:rPr>
            </w:pPr>
            <w:r>
              <w:rPr>
                <w:rFonts w:hint="eastAsia" w:ascii="宋体" w:hAnsi="宋体" w:eastAsia="宋体" w:cs="宋体"/>
                <w:b/>
                <w:color w:val="000000" w:themeColor="text1"/>
                <w:highlight w:val="none"/>
              </w:rPr>
              <w:t>投标人投标资格要求</w:t>
            </w:r>
          </w:p>
        </w:tc>
        <w:tc>
          <w:tcPr>
            <w:tcW w:w="645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b/>
                <w:color w:val="000000" w:themeColor="text1"/>
                <w:highlight w:val="none"/>
              </w:rPr>
            </w:pPr>
            <w:r>
              <w:rPr>
                <w:rFonts w:hint="eastAsia" w:ascii="宋体" w:hAnsi="宋体" w:eastAsia="宋体" w:cs="宋体"/>
                <w:b/>
                <w:color w:val="000000" w:themeColor="text1"/>
                <w:highlight w:val="none"/>
                <w:lang w:eastAsia="zh-CN"/>
              </w:rPr>
              <w:t>完工</w:t>
            </w:r>
            <w:r>
              <w:rPr>
                <w:rFonts w:hint="eastAsia" w:ascii="宋体" w:hAnsi="宋体" w:eastAsia="宋体" w:cs="宋体"/>
                <w:b/>
                <w:color w:val="000000" w:themeColor="text1"/>
                <w:highlight w:val="none"/>
              </w:rPr>
              <w:t>期</w:t>
            </w:r>
          </w:p>
        </w:tc>
        <w:tc>
          <w:tcPr>
            <w:tcW w:w="645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675"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3</w:t>
            </w:r>
          </w:p>
        </w:tc>
        <w:tc>
          <w:tcPr>
            <w:tcW w:w="2552"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b/>
                <w:color w:val="000000" w:themeColor="text1"/>
                <w:highlight w:val="none"/>
              </w:rPr>
            </w:pPr>
            <w:r>
              <w:rPr>
                <w:rFonts w:hint="eastAsia" w:ascii="宋体" w:hAnsi="宋体" w:eastAsia="宋体" w:cs="宋体"/>
                <w:b/>
                <w:color w:val="000000" w:themeColor="text1"/>
                <w:highlight w:val="none"/>
              </w:rPr>
              <w:t>货物要求</w:t>
            </w:r>
          </w:p>
        </w:tc>
        <w:tc>
          <w:tcPr>
            <w:tcW w:w="645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1.投标人必须提供符合国家质量检测标准的全新、未使用过的货物，所有设备在开箱时必须完好、无破损。必须负责设备的安装调试和培训，并提供设备使用说明书、软件等相关资料，必须提供设备的供货配置清单。</w:t>
            </w:r>
          </w:p>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2.中标供应商货物若与标书上列明的货物的型号、技术指标等不相符，采购人在验货时发现有权拒绝收货，造成一切后果由中标供应商承担相关责任。</w:t>
            </w:r>
          </w:p>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3.中标供应商在供货时必需提供以下产品（400万智能筒型网络摄像机、400万声光警戒枪球一体机、400万AI全抓拍筒型网络摄像机、400万AI多向摄像机、400万臻全彩枪球一体机、1600万 180°AR球型摄像机、智能大屏管理平台一体机、48盘位存储设备、49寸拼接屏）的</w:t>
            </w:r>
            <w:r>
              <w:rPr>
                <w:rFonts w:hint="eastAsia" w:ascii="宋体" w:hAnsi="宋体" w:eastAsia="宋体" w:cs="宋体"/>
                <w:color w:val="000000" w:themeColor="text1"/>
                <w:highlight w:val="none"/>
                <w:lang w:val="en-US" w:eastAsia="zh-CN"/>
              </w:rPr>
              <w:t>厂家</w:t>
            </w:r>
            <w:r>
              <w:rPr>
                <w:rFonts w:hint="eastAsia" w:ascii="宋体" w:hAnsi="宋体" w:eastAsia="宋体" w:cs="宋体"/>
                <w:color w:val="000000" w:themeColor="text1"/>
                <w:highlight w:val="none"/>
              </w:rPr>
              <w:t>供货证明书及</w:t>
            </w:r>
            <w:r>
              <w:rPr>
                <w:rFonts w:hint="eastAsia" w:ascii="宋体" w:hAnsi="宋体" w:eastAsia="宋体" w:cs="宋体"/>
                <w:color w:val="000000" w:themeColor="text1"/>
                <w:highlight w:val="none"/>
                <w:lang w:val="en-US" w:eastAsia="zh-CN"/>
              </w:rPr>
              <w:t>中标方</w:t>
            </w:r>
            <w:r>
              <w:rPr>
                <w:rFonts w:hint="eastAsia" w:ascii="宋体" w:hAnsi="宋体" w:eastAsia="宋体" w:cs="宋体"/>
                <w:color w:val="000000" w:themeColor="text1"/>
                <w:highlight w:val="none"/>
              </w:rPr>
              <w:t>五年维护保养期（不包含人为及不可抗力情况）；如采购人对投标人的技术响应情况存在疑问的，采购人有权要求预中标供应商在供货时向采购人提供所投产品相关资料，不限于相关产品证书、检测报告等资料（所有资料必须提供原件并加盖设备厂家印章备查）交由采购人进行资格审核，如无法在规定时间内提供相关资料，将视为提供虚假材料谋取中标资格，由此引发的所有损失由预中标供应商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4</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b/>
                <w:color w:val="000000" w:themeColor="text1"/>
                <w:highlight w:val="none"/>
              </w:rPr>
            </w:pPr>
            <w:r>
              <w:rPr>
                <w:rFonts w:hint="eastAsia" w:ascii="宋体" w:hAnsi="宋体" w:eastAsia="宋体" w:cs="宋体"/>
                <w:b/>
                <w:color w:val="000000" w:themeColor="text1"/>
                <w:highlight w:val="none"/>
              </w:rPr>
              <w:t>投标报价包括</w:t>
            </w:r>
          </w:p>
        </w:tc>
        <w:tc>
          <w:tcPr>
            <w:tcW w:w="645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应包括运至合同指定地点的设备费、运输费、卸装费、保险费、安装调试费、安装配件费、系统集成费和验收等一切费用。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5</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b/>
                <w:color w:val="000000" w:themeColor="text1"/>
                <w:highlight w:val="none"/>
              </w:rPr>
            </w:pPr>
            <w:r>
              <w:rPr>
                <w:rFonts w:hint="eastAsia" w:ascii="宋体" w:hAnsi="宋体" w:eastAsia="宋体" w:cs="宋体"/>
                <w:b/>
                <w:color w:val="000000" w:themeColor="text1"/>
                <w:highlight w:val="none"/>
              </w:rPr>
              <w:t>合同签订要求</w:t>
            </w:r>
          </w:p>
        </w:tc>
        <w:tc>
          <w:tcPr>
            <w:tcW w:w="645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采购合同由中标人与采购人双方签订，签订时间为《中标通知书》发出之日起</w:t>
            </w:r>
            <w:r>
              <w:rPr>
                <w:rFonts w:hint="eastAsia" w:ascii="宋体" w:hAnsi="宋体" w:eastAsia="宋体" w:cs="宋体"/>
                <w:color w:val="000000" w:themeColor="text1"/>
                <w:highlight w:val="none"/>
                <w:lang w:val="en-US" w:eastAsia="zh-CN"/>
              </w:rPr>
              <w:t>20</w:t>
            </w:r>
            <w:r>
              <w:rPr>
                <w:rFonts w:hint="eastAsia" w:ascii="宋体" w:hAnsi="宋体" w:eastAsia="宋体" w:cs="宋体"/>
                <w:color w:val="000000" w:themeColor="text1"/>
                <w:highlight w:val="none"/>
              </w:rPr>
              <w:t>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6</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b/>
                <w:color w:val="000000" w:themeColor="text1"/>
                <w:highlight w:val="none"/>
              </w:rPr>
            </w:pPr>
            <w:r>
              <w:rPr>
                <w:rFonts w:hint="eastAsia" w:ascii="宋体" w:hAnsi="宋体" w:eastAsia="宋体" w:cs="宋体"/>
                <w:b/>
                <w:color w:val="000000" w:themeColor="text1"/>
                <w:highlight w:val="none"/>
                <w:lang w:eastAsia="zh-CN"/>
              </w:rPr>
              <w:t>完工</w:t>
            </w:r>
            <w:r>
              <w:rPr>
                <w:rFonts w:hint="eastAsia" w:ascii="宋体" w:hAnsi="宋体" w:eastAsia="宋体" w:cs="宋体"/>
                <w:b/>
                <w:color w:val="000000" w:themeColor="text1"/>
                <w:highlight w:val="none"/>
              </w:rPr>
              <w:t>地点</w:t>
            </w:r>
          </w:p>
        </w:tc>
        <w:tc>
          <w:tcPr>
            <w:tcW w:w="645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szCs w:val="21"/>
                <w:highlight w:val="none"/>
              </w:rPr>
              <w:t>阳江市江城银岭产业园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7</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b/>
                <w:color w:val="000000" w:themeColor="text1"/>
                <w:highlight w:val="none"/>
              </w:rPr>
            </w:pPr>
            <w:r>
              <w:rPr>
                <w:rFonts w:hint="eastAsia" w:ascii="宋体" w:hAnsi="宋体" w:eastAsia="宋体" w:cs="宋体"/>
                <w:b/>
                <w:color w:val="000000" w:themeColor="text1"/>
                <w:highlight w:val="none"/>
              </w:rPr>
              <w:t>付款方式</w:t>
            </w:r>
          </w:p>
        </w:tc>
        <w:tc>
          <w:tcPr>
            <w:tcW w:w="645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（1）合同签订后10个工作日内支付合同金额的30%作为预付款；</w:t>
            </w:r>
          </w:p>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（2）全部货物到货并验货合格后10个工作内支付至合同金额的60%；</w:t>
            </w:r>
          </w:p>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000000" w:themeColor="text1"/>
                <w:highlight w:val="none"/>
                <w:lang w:val="en-US" w:eastAsia="zh-CN"/>
              </w:rPr>
            </w:pPr>
            <w:r>
              <w:rPr>
                <w:rFonts w:hint="eastAsia" w:ascii="宋体" w:hAnsi="宋体" w:eastAsia="宋体" w:cs="宋体"/>
                <w:color w:val="000000" w:themeColor="text1"/>
                <w:highlight w:val="none"/>
              </w:rPr>
              <w:t>（3）</w:t>
            </w:r>
            <w:r>
              <w:rPr>
                <w:rFonts w:hint="eastAsia" w:ascii="宋体" w:hAnsi="宋体" w:eastAsia="宋体" w:cs="宋体"/>
                <w:color w:val="000000" w:themeColor="text1"/>
                <w:highlight w:val="none"/>
                <w:lang w:val="en-US" w:eastAsia="zh-CN"/>
              </w:rPr>
              <w:t>项目验收合格后10个工作日内支付至合同金额的86%；</w:t>
            </w:r>
          </w:p>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（4）项目验收合格后</w:t>
            </w:r>
            <w:r>
              <w:rPr>
                <w:rFonts w:hint="eastAsia" w:ascii="宋体" w:hAnsi="宋体" w:eastAsia="宋体" w:cs="宋体"/>
                <w:color w:val="000000" w:themeColor="text1"/>
                <w:highlight w:val="none"/>
                <w:lang w:val="en-US" w:eastAsia="zh-CN"/>
              </w:rPr>
              <w:t>第3年12月支付至合同金额的90%，第4年12月支付至合同金额的95%，第5年12月支付至合同金额的100%。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0" w:hRule="atLeast"/>
          <w:jc w:val="center"/>
        </w:trPr>
        <w:tc>
          <w:tcPr>
            <w:tcW w:w="675"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8</w:t>
            </w:r>
          </w:p>
        </w:tc>
        <w:tc>
          <w:tcPr>
            <w:tcW w:w="2552"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b/>
                <w:color w:val="000000" w:themeColor="text1"/>
                <w:highlight w:val="none"/>
              </w:rPr>
            </w:pPr>
            <w:r>
              <w:rPr>
                <w:rFonts w:hint="eastAsia" w:ascii="宋体" w:hAnsi="宋体" w:eastAsia="宋体" w:cs="宋体"/>
                <w:b/>
                <w:color w:val="000000" w:themeColor="text1"/>
                <w:sz w:val="21"/>
                <w:szCs w:val="21"/>
                <w:highlight w:val="none"/>
              </w:rPr>
              <w:t>验收要求</w:t>
            </w:r>
          </w:p>
        </w:tc>
        <w:tc>
          <w:tcPr>
            <w:tcW w:w="6456"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r>
              <w:rPr>
                <w:rFonts w:hint="eastAsia" w:ascii="宋体" w:hAnsi="宋体" w:eastAsia="宋体" w:cs="宋体"/>
              </w:rPr>
              <w:t xml:space="preserve">1.要求对全部设备的型号、规格、数量、外观、包装及资料、文件（如装箱单、保修单、随箱介质等）等进行验收。 </w:t>
            </w:r>
          </w:p>
          <w:p>
            <w:pPr>
              <w:rPr>
                <w:rFonts w:hint="eastAsia" w:ascii="宋体" w:hAnsi="宋体" w:eastAsia="宋体" w:cs="宋体"/>
              </w:rPr>
            </w:pPr>
            <w:r>
              <w:rPr>
                <w:rFonts w:hint="eastAsia" w:ascii="宋体" w:hAnsi="宋体" w:eastAsia="宋体" w:cs="宋体"/>
              </w:rPr>
              <w:t xml:space="preserve">2.中标供应商应负责在项目验收时将系统的全部产品说明书、厂家安装手册、技术文件、资料及安装、验收报告等文档汇集成册交付设备使用单位。 </w:t>
            </w:r>
          </w:p>
          <w:p>
            <w:pPr>
              <w:rPr>
                <w:rFonts w:hint="eastAsia" w:ascii="宋体" w:hAnsi="宋体" w:eastAsia="宋体" w:cs="宋体"/>
              </w:rPr>
            </w:pPr>
            <w:r>
              <w:rPr>
                <w:rFonts w:hint="eastAsia" w:ascii="宋体" w:hAnsi="宋体" w:eastAsia="宋体" w:cs="宋体"/>
              </w:rPr>
              <w:t>3</w:t>
            </w:r>
            <w:r>
              <w:rPr>
                <w:rFonts w:hint="eastAsia" w:ascii="宋体" w:hAnsi="宋体" w:eastAsia="宋体" w:cs="宋体"/>
                <w:lang w:val="en-US" w:eastAsia="zh-CN"/>
              </w:rPr>
              <w:t>.</w:t>
            </w:r>
            <w:r>
              <w:rPr>
                <w:rFonts w:hint="eastAsia" w:ascii="宋体" w:hAnsi="宋体" w:eastAsia="宋体" w:cs="宋体"/>
              </w:rPr>
              <w:t>对全部设备性能等质量问题进行验收。</w:t>
            </w:r>
          </w:p>
          <w:p>
            <w:pPr>
              <w:rPr>
                <w:rFonts w:hint="eastAsia" w:ascii="宋体" w:hAnsi="宋体" w:eastAsia="宋体" w:cs="宋体"/>
              </w:rPr>
            </w:pPr>
            <w:r>
              <w:rPr>
                <w:rFonts w:hint="eastAsia" w:ascii="宋体" w:hAnsi="宋体" w:eastAsia="宋体" w:cs="宋体"/>
              </w:rPr>
              <w:t>4.按设计图纸要求进行验收。</w:t>
            </w:r>
          </w:p>
          <w:p>
            <w:pPr>
              <w:rPr>
                <w:rFonts w:hint="eastAsia" w:ascii="宋体" w:hAnsi="宋体" w:eastAsia="宋体" w:cs="宋体"/>
                <w:color w:val="000000" w:themeColor="text1"/>
                <w:highlight w:val="none"/>
                <w:lang w:val="en-US" w:eastAsia="zh-CN"/>
              </w:rPr>
            </w:pPr>
            <w:r>
              <w:rPr>
                <w:rFonts w:hint="eastAsia" w:ascii="宋体" w:hAnsi="宋体" w:eastAsia="宋体" w:cs="宋体"/>
                <w:lang w:val="en-US" w:eastAsia="zh-CN"/>
              </w:rPr>
              <w:t>5.该项目安装调试完成后需与公安系统联网。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75"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lang w:val="en-US" w:eastAsia="zh-CN"/>
              </w:rPr>
            </w:pPr>
            <w:r>
              <w:rPr>
                <w:rFonts w:hint="eastAsia" w:ascii="宋体" w:hAnsi="宋体" w:eastAsia="宋体" w:cs="宋体"/>
                <w:color w:val="000000" w:themeColor="text1"/>
                <w:highlight w:val="none"/>
                <w:lang w:val="en-US" w:eastAsia="zh-CN"/>
              </w:rPr>
              <w:t>9</w:t>
            </w:r>
          </w:p>
        </w:tc>
        <w:tc>
          <w:tcPr>
            <w:tcW w:w="2552"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售后服务要求</w:t>
            </w:r>
          </w:p>
        </w:tc>
        <w:tc>
          <w:tcPr>
            <w:tcW w:w="645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 xml:space="preserve">1.项目的质保期五年，自项目验收合格之日起开始计算，中标供应商须提供7×24 小时热线电话或网上技术支持。中标供应商必须承诺在质保期内，及时解决线路、设备出现的所有软、硬件故障，在接到采购人的维修通知后（含书面和口头通知），中标供应商须在0.5小时内响应，若需要上门维修，要求1小时内派专业维修技术人员到达采购人设备使用现场维修。 </w:t>
            </w:r>
          </w:p>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2.质量保证期外发生的质量问题，由中标供应商根据备品、配件市场情况及价格向采购人提供备品、配件、专用工具、易耗材料的维修服务。具体的维护保养方案及费用由中标供应商和采购人根据当时情况另行商议决定。</w:t>
            </w:r>
          </w:p>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 xml:space="preserve">3.在任何时候，中标供应商均不能免除因货物本身的缺陷所应负的责任。货物在质保期内发生质量问题，中标供应商须无条件给予维修与退换。 </w:t>
            </w:r>
          </w:p>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4.中标供应商或货物生产厂家在本地有售后服务机构或在本地委托具有本项目售后服务能力的单位，在被委托的范围内向采购人提供售后服务。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lang w:val="en-US" w:eastAsia="zh-CN"/>
              </w:rPr>
            </w:pPr>
            <w:r>
              <w:rPr>
                <w:rFonts w:hint="eastAsia" w:ascii="宋体" w:hAnsi="宋体" w:eastAsia="宋体" w:cs="宋体"/>
                <w:color w:val="000000" w:themeColor="text1"/>
                <w:highlight w:val="none"/>
                <w:lang w:val="en-US" w:eastAsia="zh-CN"/>
              </w:rPr>
              <w:t>10</w:t>
            </w:r>
          </w:p>
        </w:tc>
        <w:tc>
          <w:tcPr>
            <w:tcW w:w="2552"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投标保证金</w:t>
            </w:r>
          </w:p>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（应当以支票、汇票、本票或者金融机构、担保机构出具的保函等非现金</w:t>
            </w:r>
          </w:p>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形式提交）。</w:t>
            </w:r>
          </w:p>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szCs w:val="21"/>
                <w:highlight w:val="none"/>
              </w:rPr>
            </w:pPr>
            <w:r>
              <w:rPr>
                <w:rFonts w:hint="eastAsia" w:ascii="宋体" w:hAnsi="宋体" w:eastAsia="宋体" w:cs="宋体"/>
                <w:b/>
                <w:color w:val="000000" w:themeColor="text1"/>
                <w:highlight w:val="none"/>
              </w:rPr>
              <w:t>提交主体：必须以投标人自身名义提交，</w:t>
            </w:r>
            <w:r>
              <w:rPr>
                <w:rFonts w:hint="eastAsia" w:ascii="宋体" w:hAnsi="宋体" w:eastAsia="宋体" w:cs="宋体"/>
                <w:color w:val="000000" w:themeColor="text1"/>
                <w:szCs w:val="21"/>
                <w:highlight w:val="none"/>
              </w:rPr>
              <w:t>应注明“</w:t>
            </w:r>
            <w:r>
              <w:rPr>
                <w:rFonts w:hint="eastAsia" w:ascii="宋体" w:hAnsi="宋体" w:eastAsia="宋体" w:cs="宋体"/>
                <w:b/>
                <w:color w:val="000000" w:themeColor="text1"/>
                <w:szCs w:val="21"/>
                <w:highlight w:val="none"/>
              </w:rPr>
              <w:t>（项目编号）投标保证金</w:t>
            </w:r>
            <w:r>
              <w:rPr>
                <w:rFonts w:hint="eastAsia" w:ascii="宋体" w:hAnsi="宋体" w:eastAsia="宋体" w:cs="宋体"/>
                <w:color w:val="000000" w:themeColor="text1"/>
                <w:szCs w:val="21"/>
                <w:highlight w:val="none"/>
              </w:rPr>
              <w:t>”。</w:t>
            </w: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保证金数额</w:t>
            </w:r>
          </w:p>
        </w:tc>
        <w:tc>
          <w:tcPr>
            <w:tcW w:w="45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00" w:lineRule="exact"/>
              <w:ind w:left="316" w:hanging="316" w:hangingChars="150"/>
              <w:jc w:val="left"/>
              <w:textAlignment w:val="auto"/>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人民币</w:t>
            </w:r>
            <w:r>
              <w:rPr>
                <w:rFonts w:hint="eastAsia" w:ascii="宋体" w:hAnsi="宋体" w:eastAsia="宋体" w:cs="宋体"/>
                <w:b/>
                <w:color w:val="000000" w:themeColor="text1"/>
                <w:szCs w:val="21"/>
                <w:highlight w:val="none"/>
                <w:lang w:val="en-US" w:eastAsia="zh-CN"/>
              </w:rPr>
              <w:t>陆万</w:t>
            </w:r>
            <w:r>
              <w:rPr>
                <w:rFonts w:hint="eastAsia" w:ascii="宋体" w:hAnsi="宋体" w:eastAsia="宋体" w:cs="宋体"/>
                <w:b/>
                <w:color w:val="000000" w:themeColor="text1"/>
                <w:szCs w:val="21"/>
                <w:highlight w:val="none"/>
              </w:rPr>
              <w:t>元整（￥</w:t>
            </w:r>
            <w:r>
              <w:rPr>
                <w:rFonts w:hint="eastAsia" w:ascii="宋体" w:hAnsi="宋体" w:eastAsia="宋体" w:cs="宋体"/>
                <w:b/>
                <w:color w:val="000000" w:themeColor="text1"/>
                <w:szCs w:val="21"/>
                <w:highlight w:val="none"/>
                <w:lang w:val="en-US" w:eastAsia="zh-CN"/>
              </w:rPr>
              <w:t>60</w:t>
            </w:r>
            <w:r>
              <w:rPr>
                <w:rFonts w:hint="eastAsia" w:ascii="宋体" w:hAnsi="宋体" w:eastAsia="宋体" w:cs="宋体"/>
                <w:b/>
                <w:color w:val="000000" w:themeColor="text1"/>
                <w:szCs w:val="21"/>
                <w:highlight w:val="none"/>
              </w:rPr>
              <w:t>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rPr>
            </w:pPr>
          </w:p>
        </w:tc>
        <w:tc>
          <w:tcPr>
            <w:tcW w:w="2552"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bCs/>
                <w:color w:val="000000" w:themeColor="text1"/>
                <w:szCs w:val="21"/>
                <w:highlight w:val="none"/>
              </w:rPr>
            </w:pPr>
            <w:r>
              <w:rPr>
                <w:rFonts w:hint="eastAsia" w:ascii="宋体" w:hAnsi="宋体" w:eastAsia="宋体" w:cs="宋体"/>
                <w:bCs/>
                <w:color w:val="000000" w:themeColor="text1"/>
                <w:szCs w:val="21"/>
                <w:highlight w:val="none"/>
              </w:rPr>
              <w:t>开户名称</w:t>
            </w:r>
          </w:p>
        </w:tc>
        <w:tc>
          <w:tcPr>
            <w:tcW w:w="45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b/>
                <w:bCs/>
                <w:color w:val="000000" w:themeColor="text1"/>
                <w:szCs w:val="21"/>
                <w:highlight w:val="none"/>
              </w:rPr>
            </w:pPr>
            <w:r>
              <w:rPr>
                <w:rFonts w:hint="eastAsia" w:ascii="宋体" w:hAnsi="宋体" w:eastAsia="宋体" w:cs="宋体"/>
                <w:b/>
                <w:bCs/>
                <w:color w:val="000000" w:themeColor="text1"/>
                <w:szCs w:val="21"/>
                <w:highlight w:val="none"/>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rPr>
            </w:pPr>
          </w:p>
        </w:tc>
        <w:tc>
          <w:tcPr>
            <w:tcW w:w="255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00" w:lineRule="exact"/>
              <w:jc w:val="left"/>
              <w:textAlignment w:val="auto"/>
              <w:rPr>
                <w:rFonts w:hint="eastAsia" w:ascii="宋体" w:hAnsi="宋体" w:eastAsia="宋体" w:cs="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bCs/>
                <w:color w:val="000000" w:themeColor="text1"/>
                <w:szCs w:val="21"/>
                <w:highlight w:val="none"/>
              </w:rPr>
            </w:pPr>
            <w:r>
              <w:rPr>
                <w:rFonts w:hint="eastAsia" w:ascii="宋体" w:hAnsi="宋体" w:eastAsia="宋体" w:cs="宋体"/>
                <w:bCs/>
                <w:color w:val="000000" w:themeColor="text1"/>
                <w:szCs w:val="21"/>
                <w:highlight w:val="none"/>
              </w:rPr>
              <w:t>账    号</w:t>
            </w:r>
          </w:p>
        </w:tc>
        <w:tc>
          <w:tcPr>
            <w:tcW w:w="45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eastAsia="宋体" w:cs="宋体"/>
                <w:b/>
                <w:bCs/>
                <w:color w:val="000000" w:themeColor="text1"/>
                <w:szCs w:val="21"/>
                <w:highlight w:val="none"/>
              </w:rPr>
            </w:pPr>
            <w:r>
              <w:rPr>
                <w:rFonts w:hint="eastAsia" w:ascii="宋体" w:hAnsi="宋体" w:eastAsia="宋体" w:cs="宋体"/>
                <w:b/>
                <w:bCs/>
                <w:color w:val="000000" w:themeColor="text1"/>
                <w:szCs w:val="21"/>
                <w:highlight w:val="none"/>
              </w:rPr>
              <w:t>9550880202409700149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rPr>
            </w:pPr>
          </w:p>
        </w:tc>
        <w:tc>
          <w:tcPr>
            <w:tcW w:w="255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00" w:lineRule="exact"/>
              <w:jc w:val="left"/>
              <w:textAlignment w:val="auto"/>
              <w:rPr>
                <w:rFonts w:hint="eastAsia" w:ascii="宋体" w:hAnsi="宋体" w:eastAsia="宋体" w:cs="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bCs/>
                <w:color w:val="000000" w:themeColor="text1"/>
                <w:szCs w:val="21"/>
                <w:highlight w:val="none"/>
              </w:rPr>
            </w:pPr>
            <w:r>
              <w:rPr>
                <w:rFonts w:hint="eastAsia" w:ascii="宋体" w:hAnsi="宋体" w:eastAsia="宋体" w:cs="宋体"/>
                <w:bCs/>
                <w:color w:val="000000" w:themeColor="text1"/>
                <w:szCs w:val="21"/>
                <w:highlight w:val="none"/>
              </w:rPr>
              <w:t>开户银行</w:t>
            </w:r>
          </w:p>
        </w:tc>
        <w:tc>
          <w:tcPr>
            <w:tcW w:w="45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00" w:lineRule="exact"/>
              <w:jc w:val="left"/>
              <w:textAlignment w:val="auto"/>
              <w:rPr>
                <w:rFonts w:hint="eastAsia" w:ascii="宋体" w:hAnsi="宋体" w:eastAsia="宋体" w:cs="宋体"/>
                <w:b/>
                <w:bCs/>
                <w:color w:val="000000" w:themeColor="text1"/>
                <w:szCs w:val="21"/>
                <w:highlight w:val="none"/>
              </w:rPr>
            </w:pPr>
            <w:r>
              <w:rPr>
                <w:rFonts w:hint="eastAsia" w:ascii="宋体" w:hAnsi="宋体" w:eastAsia="宋体" w:cs="宋体"/>
                <w:b/>
                <w:bCs/>
                <w:color w:val="000000" w:themeColor="text1"/>
                <w:szCs w:val="21"/>
                <w:highlight w:val="none"/>
              </w:rPr>
              <w:t xml:space="preserve">广发银行阳江江城支行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rPr>
            </w:pPr>
          </w:p>
        </w:tc>
        <w:tc>
          <w:tcPr>
            <w:tcW w:w="255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00" w:lineRule="exact"/>
              <w:jc w:val="left"/>
              <w:textAlignment w:val="auto"/>
              <w:rPr>
                <w:rFonts w:hint="eastAsia" w:ascii="宋体" w:hAnsi="宋体" w:eastAsia="宋体" w:cs="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交纳时间</w:t>
            </w:r>
          </w:p>
        </w:tc>
        <w:tc>
          <w:tcPr>
            <w:tcW w:w="45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00" w:lineRule="exact"/>
              <w:textAlignment w:val="auto"/>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lang w:eastAsia="zh-CN"/>
              </w:rPr>
            </w:pPr>
            <w:r>
              <w:rPr>
                <w:rFonts w:hint="eastAsia" w:ascii="宋体" w:hAnsi="宋体" w:eastAsia="宋体" w:cs="宋体"/>
                <w:color w:val="000000" w:themeColor="text1"/>
                <w:highlight w:val="none"/>
              </w:rPr>
              <w:t>1</w:t>
            </w:r>
            <w:r>
              <w:rPr>
                <w:rFonts w:hint="eastAsia" w:ascii="宋体" w:hAnsi="宋体" w:eastAsia="宋体" w:cs="宋体"/>
                <w:color w:val="000000" w:themeColor="text1"/>
                <w:highlight w:val="none"/>
                <w:lang w:val="en-US" w:eastAsia="zh-CN"/>
              </w:rPr>
              <w:t>1</w:t>
            </w:r>
          </w:p>
        </w:tc>
        <w:tc>
          <w:tcPr>
            <w:tcW w:w="2552"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中标服务费</w:t>
            </w:r>
          </w:p>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szCs w:val="21"/>
                <w:highlight w:val="none"/>
              </w:rPr>
            </w:pPr>
            <w:r>
              <w:rPr>
                <w:rFonts w:hint="eastAsia" w:ascii="宋体" w:hAnsi="宋体" w:eastAsia="宋体" w:cs="宋体"/>
                <w:bCs/>
                <w:color w:val="000000" w:themeColor="text1"/>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bCs/>
                <w:color w:val="000000" w:themeColor="text1"/>
                <w:szCs w:val="21"/>
                <w:highlight w:val="none"/>
              </w:rPr>
            </w:pPr>
            <w:r>
              <w:rPr>
                <w:rFonts w:hint="eastAsia" w:ascii="宋体" w:hAnsi="宋体" w:eastAsia="宋体" w:cs="宋体"/>
                <w:color w:val="000000" w:themeColor="text1"/>
                <w:szCs w:val="21"/>
                <w:highlight w:val="none"/>
              </w:rPr>
              <w:t>收费标准：</w:t>
            </w:r>
          </w:p>
        </w:tc>
        <w:tc>
          <w:tcPr>
            <w:tcW w:w="45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00" w:lineRule="exact"/>
              <w:jc w:val="left"/>
              <w:textAlignment w:val="auto"/>
              <w:rPr>
                <w:rFonts w:hint="eastAsia" w:ascii="宋体" w:hAnsi="宋体" w:eastAsia="宋体" w:cs="宋体"/>
                <w:bCs/>
                <w:color w:val="000000" w:themeColor="text1"/>
                <w:szCs w:val="21"/>
                <w:highlight w:val="none"/>
              </w:rPr>
            </w:pPr>
            <w:r>
              <w:rPr>
                <w:rFonts w:hint="eastAsia" w:ascii="宋体" w:hAnsi="宋体" w:eastAsia="宋体" w:cs="宋体"/>
                <w:bCs/>
                <w:color w:val="000000" w:themeColor="text1"/>
                <w:szCs w:val="21"/>
                <w:highlight w:val="none"/>
                <w:lang w:val="en-US" w:eastAsia="zh-CN"/>
              </w:rPr>
              <w:t>参考</w:t>
            </w:r>
            <w:r>
              <w:rPr>
                <w:rFonts w:hint="eastAsia" w:ascii="宋体" w:hAnsi="宋体" w:eastAsia="宋体" w:cs="宋体"/>
                <w:bCs/>
                <w:color w:val="000000" w:themeColor="text1"/>
                <w:szCs w:val="21"/>
                <w:highlight w:val="none"/>
              </w:rPr>
              <w:t>发改价格[2011]534号文的规定</w:t>
            </w:r>
            <w:r>
              <w:rPr>
                <w:rFonts w:hint="eastAsia" w:ascii="宋体" w:hAnsi="宋体" w:eastAsia="宋体" w:cs="宋体"/>
                <w:color w:val="000000" w:themeColor="text1"/>
                <w:szCs w:val="21"/>
                <w:highlight w:val="none"/>
              </w:rPr>
              <w:t>，招标代理服务费按差额定率累进法计算。中标服务费由中标人在领取中标通知书前以银行转账方式一次性支付。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rPr>
            </w:pPr>
          </w:p>
        </w:tc>
        <w:tc>
          <w:tcPr>
            <w:tcW w:w="2552"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bCs/>
                <w:color w:val="000000" w:themeColor="text1"/>
                <w:szCs w:val="21"/>
                <w:highlight w:val="none"/>
              </w:rPr>
            </w:pPr>
            <w:r>
              <w:rPr>
                <w:rFonts w:hint="eastAsia" w:ascii="宋体" w:hAnsi="宋体" w:eastAsia="宋体" w:cs="宋体"/>
                <w:bCs/>
                <w:color w:val="000000" w:themeColor="text1"/>
                <w:szCs w:val="21"/>
                <w:highlight w:val="none"/>
              </w:rPr>
              <w:t>开户名称</w:t>
            </w:r>
          </w:p>
        </w:tc>
        <w:tc>
          <w:tcPr>
            <w:tcW w:w="45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00" w:lineRule="exact"/>
              <w:jc w:val="left"/>
              <w:textAlignment w:val="auto"/>
              <w:rPr>
                <w:rFonts w:hint="eastAsia" w:ascii="宋体" w:hAnsi="宋体" w:eastAsia="宋体" w:cs="宋体"/>
                <w:bCs/>
                <w:color w:val="000000" w:themeColor="text1"/>
                <w:szCs w:val="21"/>
                <w:highlight w:val="none"/>
              </w:rPr>
            </w:pPr>
            <w:r>
              <w:rPr>
                <w:rFonts w:hint="eastAsia" w:ascii="宋体" w:hAnsi="宋体" w:eastAsia="宋体" w:cs="宋体"/>
                <w:b/>
                <w:bCs/>
                <w:color w:val="000000" w:themeColor="text1"/>
                <w:szCs w:val="21"/>
                <w:highlight w:val="none"/>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rPr>
            </w:pPr>
          </w:p>
        </w:tc>
        <w:tc>
          <w:tcPr>
            <w:tcW w:w="2552"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bCs/>
                <w:color w:val="000000" w:themeColor="text1"/>
                <w:szCs w:val="21"/>
                <w:highlight w:val="none"/>
              </w:rPr>
            </w:pPr>
            <w:r>
              <w:rPr>
                <w:rFonts w:hint="eastAsia" w:ascii="宋体" w:hAnsi="宋体" w:eastAsia="宋体" w:cs="宋体"/>
                <w:bCs/>
                <w:color w:val="000000" w:themeColor="text1"/>
                <w:szCs w:val="21"/>
                <w:highlight w:val="none"/>
              </w:rPr>
              <w:t>账    号</w:t>
            </w:r>
          </w:p>
        </w:tc>
        <w:tc>
          <w:tcPr>
            <w:tcW w:w="45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00" w:lineRule="exact"/>
              <w:jc w:val="left"/>
              <w:textAlignment w:val="auto"/>
              <w:rPr>
                <w:rFonts w:hint="eastAsia" w:ascii="宋体" w:hAnsi="宋体" w:eastAsia="宋体" w:cs="宋体"/>
                <w:bCs/>
                <w:color w:val="000000" w:themeColor="text1"/>
                <w:szCs w:val="21"/>
                <w:highlight w:val="none"/>
              </w:rPr>
            </w:pPr>
            <w:r>
              <w:rPr>
                <w:rFonts w:hint="eastAsia" w:ascii="宋体" w:hAnsi="宋体" w:eastAsia="宋体" w:cs="宋体"/>
                <w:b/>
                <w:bCs/>
                <w:color w:val="000000" w:themeColor="text1"/>
                <w:szCs w:val="21"/>
                <w:highlight w:val="none"/>
              </w:rPr>
              <w:t>44547801040002249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highlight w:val="none"/>
              </w:rPr>
            </w:pPr>
          </w:p>
        </w:tc>
        <w:tc>
          <w:tcPr>
            <w:tcW w:w="2552"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eastAsia" w:ascii="宋体" w:hAnsi="宋体" w:eastAsia="宋体" w:cs="宋体"/>
                <w:bCs/>
                <w:color w:val="000000" w:themeColor="text1"/>
                <w:szCs w:val="21"/>
                <w:highlight w:val="none"/>
              </w:rPr>
            </w:pPr>
            <w:r>
              <w:rPr>
                <w:rFonts w:hint="eastAsia" w:ascii="宋体" w:hAnsi="宋体" w:eastAsia="宋体" w:cs="宋体"/>
                <w:bCs/>
                <w:color w:val="000000" w:themeColor="text1"/>
                <w:szCs w:val="21"/>
                <w:highlight w:val="none"/>
              </w:rPr>
              <w:t>开户银行</w:t>
            </w:r>
          </w:p>
        </w:tc>
        <w:tc>
          <w:tcPr>
            <w:tcW w:w="45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00" w:lineRule="exact"/>
              <w:jc w:val="left"/>
              <w:textAlignment w:val="auto"/>
              <w:rPr>
                <w:rFonts w:hint="eastAsia" w:ascii="宋体" w:hAnsi="宋体" w:eastAsia="宋体" w:cs="宋体"/>
                <w:bCs/>
                <w:color w:val="000000" w:themeColor="text1"/>
                <w:szCs w:val="21"/>
                <w:highlight w:val="none"/>
              </w:rPr>
            </w:pPr>
            <w:r>
              <w:rPr>
                <w:rFonts w:hint="eastAsia" w:ascii="宋体" w:hAnsi="宋体" w:eastAsia="宋体" w:cs="宋体"/>
                <w:b/>
                <w:bCs/>
                <w:color w:val="000000" w:themeColor="text1"/>
                <w:szCs w:val="21"/>
                <w:highlight w:val="none"/>
              </w:rPr>
              <w:t>中国农业银行股份有限公司阳江</w:t>
            </w:r>
            <w:r>
              <w:rPr>
                <w:rFonts w:hint="eastAsia" w:ascii="宋体" w:hAnsi="宋体" w:eastAsia="宋体" w:cs="宋体"/>
                <w:b/>
                <w:bCs/>
                <w:color w:val="000000" w:themeColor="text1"/>
                <w:szCs w:val="21"/>
                <w:highlight w:val="none"/>
                <w:lang w:val="en-US" w:eastAsia="zh-CN"/>
              </w:rPr>
              <w:t>江城</w:t>
            </w:r>
            <w:r>
              <w:rPr>
                <w:rFonts w:hint="eastAsia" w:ascii="宋体" w:hAnsi="宋体" w:eastAsia="宋体" w:cs="宋体"/>
                <w:b/>
                <w:bCs/>
                <w:color w:val="000000" w:themeColor="text1"/>
                <w:szCs w:val="21"/>
                <w:highlight w:val="none"/>
              </w:rPr>
              <w:t>支行</w:t>
            </w:r>
          </w:p>
        </w:tc>
      </w:tr>
    </w:tbl>
    <w:p>
      <w:pPr>
        <w:adjustRightInd w:val="0"/>
        <w:snapToGrid w:val="0"/>
        <w:spacing w:line="360" w:lineRule="auto"/>
        <w:rPr>
          <w:b/>
          <w:color w:val="000000" w:themeColor="text1"/>
          <w:szCs w:val="2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rPr>
          <w:rFonts w:hint="eastAsia"/>
          <w:color w:val="000000" w:themeColor="text1"/>
          <w:kern w:val="0"/>
          <w:sz w:val="24"/>
          <w:highlight w:val="none"/>
        </w:rPr>
      </w:pPr>
      <w:bookmarkStart w:id="113" w:name="_Toc505160648"/>
      <w:r>
        <w:rPr>
          <w:rFonts w:hint="eastAsia"/>
          <w:color w:val="000000" w:themeColor="text1"/>
          <w:kern w:val="0"/>
          <w:sz w:val="24"/>
          <w:highlight w:val="none"/>
        </w:rPr>
        <w:br w:type="page"/>
      </w:r>
    </w:p>
    <w:p>
      <w:pPr>
        <w:pStyle w:val="4"/>
        <w:numPr>
          <w:ilvl w:val="0"/>
          <w:numId w:val="0"/>
        </w:numPr>
        <w:spacing w:beforeLines="150" w:after="0" w:line="360" w:lineRule="auto"/>
        <w:rPr>
          <w:color w:val="000000" w:themeColor="text1"/>
          <w:kern w:val="0"/>
          <w:sz w:val="24"/>
          <w:highlight w:val="none"/>
        </w:rPr>
      </w:pPr>
      <w:bookmarkStart w:id="114" w:name="_Toc11249"/>
      <w:r>
        <w:rPr>
          <w:rFonts w:hint="eastAsia"/>
          <w:color w:val="000000" w:themeColor="text1"/>
          <w:kern w:val="0"/>
          <w:sz w:val="24"/>
          <w:highlight w:val="none"/>
        </w:rPr>
        <w:t>B  技术要求</w:t>
      </w:r>
      <w:bookmarkEnd w:id="113"/>
      <w:bookmarkEnd w:id="114"/>
    </w:p>
    <w:p>
      <w:pPr>
        <w:adjustRightInd w:val="0"/>
        <w:snapToGrid w:val="0"/>
        <w:spacing w:line="360" w:lineRule="auto"/>
        <w:rPr>
          <w:rFonts w:hint="eastAsia" w:ascii="宋体" w:hAnsi="宋体"/>
          <w:b/>
          <w:bCs w:val="0"/>
          <w:color w:val="000000" w:themeColor="text1"/>
          <w:highlight w:val="none"/>
        </w:rPr>
      </w:pPr>
      <w:r>
        <w:rPr>
          <w:rFonts w:hint="eastAsia" w:ascii="宋体" w:hAnsi="宋体"/>
          <w:b/>
          <w:bCs w:val="0"/>
          <w:color w:val="000000" w:themeColor="text1"/>
          <w:highlight w:val="none"/>
        </w:rPr>
        <w:t>一、</w:t>
      </w:r>
      <w:bookmarkStart w:id="115" w:name="_Toc108123509"/>
      <w:bookmarkStart w:id="116" w:name="_Toc213346052"/>
      <w:bookmarkStart w:id="117" w:name="_Toc322807749"/>
      <w:bookmarkStart w:id="118" w:name="_Toc491890986"/>
      <w:bookmarkStart w:id="119" w:name="_Toc217720569"/>
      <w:r>
        <w:rPr>
          <w:rFonts w:hint="eastAsia" w:ascii="宋体" w:hAnsi="宋体"/>
          <w:b/>
          <w:bCs w:val="0"/>
          <w:color w:val="000000" w:themeColor="text1"/>
          <w:highlight w:val="none"/>
        </w:rPr>
        <w:t>项目概况</w:t>
      </w:r>
      <w:bookmarkEnd w:id="115"/>
      <w:bookmarkEnd w:id="116"/>
      <w:bookmarkEnd w:id="117"/>
      <w:bookmarkEnd w:id="118"/>
      <w:bookmarkEnd w:id="119"/>
    </w:p>
    <w:p>
      <w:pPr>
        <w:adjustRightInd w:val="0"/>
        <w:snapToGrid w:val="0"/>
        <w:spacing w:line="360" w:lineRule="auto"/>
        <w:ind w:firstLine="420" w:firstLineChars="200"/>
        <w:rPr>
          <w:rFonts w:hint="eastAsia" w:ascii="宋体" w:hAnsi="宋体"/>
          <w:bCs/>
          <w:color w:val="000000" w:themeColor="text1"/>
          <w:highlight w:val="none"/>
        </w:rPr>
      </w:pPr>
      <w:r>
        <w:rPr>
          <w:rFonts w:hint="eastAsia" w:ascii="宋体" w:hAnsi="宋体"/>
          <w:bCs/>
          <w:color w:val="000000" w:themeColor="text1"/>
          <w:highlight w:val="none"/>
        </w:rPr>
        <w:t>2019年，习近平总书记在给2019中国国际智能产业博览会贺信中指出：“中国高度重视智能产业发展，加快数字产业化、产业数字化，推动数字经济和实体经济深度融合。”这是在多年两化融合基础提出新融合方向。</w:t>
      </w:r>
    </w:p>
    <w:p>
      <w:pPr>
        <w:adjustRightInd w:val="0"/>
        <w:snapToGrid w:val="0"/>
        <w:spacing w:line="360" w:lineRule="auto"/>
        <w:ind w:firstLine="420" w:firstLineChars="200"/>
        <w:rPr>
          <w:rFonts w:hint="eastAsia" w:ascii="宋体" w:hAnsi="宋体"/>
          <w:bCs/>
          <w:color w:val="000000" w:themeColor="text1"/>
          <w:highlight w:val="none"/>
        </w:rPr>
      </w:pPr>
      <w:r>
        <w:rPr>
          <w:rFonts w:hint="eastAsia" w:ascii="宋体" w:hAnsi="宋体"/>
          <w:bCs/>
          <w:color w:val="000000" w:themeColor="text1"/>
          <w:highlight w:val="none"/>
        </w:rPr>
        <w:t>2020年1月，国常会再提新型基建：提出了四项改革办法和市场化措施促进制造业稳增长，包括放开规模以上工业企业参与电力市场化交易、出台信息网络等新型基础设施投资支持政策等。与传统基建不同，新型基础设施建设内涵更丰富，涵盖范围更广，更能体现数字经济特征，能够更好推动中国经济转型升级。其中，“狭义新基建”是指以产业升级为核心的新一轮信息基础设施建设，包含了IDC、5G、物联网、人工智能、工业互联网。“广义新基建”则涵盖了过去投资速度较慢、增量空间较大的传统基建，包括轨道交通、特高压、充电桩、核电等重点领域。</w:t>
      </w:r>
    </w:p>
    <w:p>
      <w:pPr>
        <w:adjustRightInd w:val="0"/>
        <w:snapToGrid w:val="0"/>
        <w:spacing w:line="360" w:lineRule="auto"/>
        <w:ind w:firstLine="420" w:firstLineChars="200"/>
        <w:rPr>
          <w:rFonts w:hint="eastAsia" w:ascii="宋体" w:hAnsi="宋体"/>
          <w:bCs/>
          <w:color w:val="000000" w:themeColor="text1"/>
          <w:highlight w:val="none"/>
        </w:rPr>
      </w:pPr>
      <w:r>
        <w:rPr>
          <w:rFonts w:hint="eastAsia" w:ascii="宋体" w:hAnsi="宋体"/>
          <w:bCs/>
          <w:color w:val="000000" w:themeColor="text1"/>
          <w:highlight w:val="none"/>
        </w:rPr>
        <w:t>当前，数字经济及物联网技术、视频及人工智能技术、智能大数据分析等技术的发展让企业数字化转型成为必然。</w:t>
      </w:r>
    </w:p>
    <w:p>
      <w:pPr>
        <w:adjustRightInd w:val="0"/>
        <w:snapToGrid w:val="0"/>
        <w:spacing w:line="360" w:lineRule="auto"/>
        <w:ind w:firstLine="420" w:firstLineChars="200"/>
        <w:rPr>
          <w:rFonts w:hint="eastAsia" w:ascii="宋体" w:hAnsi="宋体"/>
          <w:bCs/>
          <w:color w:val="000000" w:themeColor="text1"/>
          <w:highlight w:val="none"/>
        </w:rPr>
      </w:pPr>
      <w:r>
        <w:rPr>
          <w:rFonts w:hint="eastAsia" w:ascii="宋体" w:hAnsi="宋体"/>
          <w:bCs/>
          <w:color w:val="000000" w:themeColor="text1"/>
          <w:highlight w:val="none"/>
        </w:rPr>
        <w:t>银岭产业园区是集企业生产、物流流通、服务等活动所在的场所，含企业制造园区、企业办公园区、企业研发基地、企业管理中心，还有物流园区、营销区域（分公司、营销门店等）、生产工业园区等。</w:t>
      </w:r>
    </w:p>
    <w:p>
      <w:pPr>
        <w:adjustRightInd w:val="0"/>
        <w:snapToGrid w:val="0"/>
        <w:spacing w:line="360" w:lineRule="auto"/>
        <w:ind w:firstLine="420" w:firstLineChars="200"/>
        <w:rPr>
          <w:rFonts w:hint="eastAsia" w:ascii="宋体" w:hAnsi="宋体"/>
          <w:bCs/>
          <w:color w:val="000000" w:themeColor="text1"/>
          <w:highlight w:val="none"/>
        </w:rPr>
      </w:pPr>
      <w:r>
        <w:rPr>
          <w:rFonts w:hint="eastAsia" w:ascii="宋体" w:hAnsi="宋体"/>
          <w:bCs/>
          <w:color w:val="000000" w:themeColor="text1"/>
          <w:highlight w:val="none"/>
        </w:rPr>
        <w:t>本项目根据银岭产业园的实际需求，本着因地制宜、科学合理、注重实效、严格要求及保密的原则，着眼于实际并考虑未来业务接入，立足于以视频为核心的物联网技术，结合视频、人脸识别、智能AI、智能物联技术、智能大数据分析等技术，软硬件产品结合，将数字化、智能化从园区视频安全管理的环节入手，将管理做到“看得见，管得着”。致力于打造智慧企业园区管理的统一智能物联网应用，实现企业大数据监管、分析和智能预测，最终打造精准感知物理世界，打通物理世界和数字世界，实现企业全量数字化，打造智慧企业园区。</w:t>
      </w:r>
    </w:p>
    <w:p>
      <w:pPr>
        <w:adjustRightInd w:val="0"/>
        <w:snapToGrid w:val="0"/>
        <w:spacing w:line="360" w:lineRule="auto"/>
        <w:rPr>
          <w:rFonts w:hint="eastAsia" w:ascii="宋体" w:hAnsi="宋体"/>
          <w:b/>
          <w:bCs w:val="0"/>
          <w:color w:val="000000" w:themeColor="text1"/>
          <w:highlight w:val="none"/>
        </w:rPr>
      </w:pPr>
      <w:r>
        <w:rPr>
          <w:rFonts w:hint="eastAsia" w:ascii="宋体" w:hAnsi="宋体"/>
          <w:b/>
          <w:bCs w:val="0"/>
          <w:color w:val="000000" w:themeColor="text1"/>
          <w:highlight w:val="none"/>
        </w:rPr>
        <w:t>二、</w:t>
      </w:r>
      <w:bookmarkStart w:id="120" w:name="_Toc108123511"/>
      <w:r>
        <w:rPr>
          <w:rFonts w:hint="eastAsia" w:ascii="宋体" w:hAnsi="宋体"/>
          <w:b/>
          <w:bCs w:val="0"/>
          <w:color w:val="000000" w:themeColor="text1"/>
          <w:highlight w:val="none"/>
        </w:rPr>
        <w:t>系统建设需求</w:t>
      </w:r>
      <w:bookmarkEnd w:id="120"/>
    </w:p>
    <w:p>
      <w:pPr>
        <w:adjustRightInd w:val="0"/>
        <w:snapToGrid w:val="0"/>
        <w:spacing w:line="360" w:lineRule="auto"/>
        <w:rPr>
          <w:rFonts w:hint="eastAsia" w:ascii="宋体" w:hAnsi="宋体"/>
          <w:bCs/>
          <w:color w:val="000000" w:themeColor="text1"/>
          <w:highlight w:val="none"/>
        </w:rPr>
      </w:pPr>
      <w:bookmarkStart w:id="121" w:name="_Toc414982870"/>
      <w:bookmarkStart w:id="122" w:name="_Toc102161221"/>
      <w:r>
        <w:rPr>
          <w:rFonts w:hint="eastAsia" w:ascii="宋体" w:hAnsi="宋体"/>
          <w:bCs/>
          <w:color w:val="000000" w:themeColor="text1"/>
          <w:highlight w:val="none"/>
        </w:rPr>
        <w:t>1、系统整体需求</w:t>
      </w:r>
      <w:bookmarkEnd w:id="121"/>
      <w:bookmarkEnd w:id="122"/>
    </w:p>
    <w:p>
      <w:pPr>
        <w:adjustRightInd w:val="0"/>
        <w:snapToGrid w:val="0"/>
        <w:spacing w:line="360" w:lineRule="auto"/>
        <w:ind w:firstLine="420" w:firstLineChars="200"/>
        <w:rPr>
          <w:rFonts w:hint="eastAsia" w:ascii="宋体" w:hAnsi="宋体"/>
          <w:bCs/>
          <w:color w:val="000000" w:themeColor="text1"/>
          <w:highlight w:val="none"/>
        </w:rPr>
      </w:pPr>
      <w:r>
        <w:rPr>
          <w:rFonts w:hint="eastAsia" w:ascii="宋体" w:hAnsi="宋体"/>
          <w:bCs/>
          <w:color w:val="000000" w:themeColor="text1"/>
          <w:highlight w:val="none"/>
        </w:rPr>
        <w:t>系统建设园区前端布点应根据实际情况和业务需求，经认真对整个园区50多个路口进行实 勘察、分析、论证后，按照“先重点，后一般”、“智能包围圈”的原则确定位置、区域及数量，以“点、线、面”相结合方式确保全面覆盖，力争做到无死角。</w:t>
      </w:r>
    </w:p>
    <w:p>
      <w:pPr>
        <w:adjustRightInd w:val="0"/>
        <w:snapToGrid w:val="0"/>
        <w:spacing w:line="360" w:lineRule="auto"/>
        <w:ind w:firstLine="420" w:firstLineChars="200"/>
        <w:rPr>
          <w:rFonts w:hint="eastAsia" w:ascii="宋体" w:hAnsi="宋体"/>
          <w:bCs/>
          <w:color w:val="000000" w:themeColor="text1"/>
          <w:highlight w:val="none"/>
        </w:rPr>
      </w:pPr>
      <w:r>
        <w:rPr>
          <w:rFonts w:hint="eastAsia" w:ascii="宋体" w:hAnsi="宋体"/>
          <w:bCs/>
          <w:color w:val="000000" w:themeColor="text1"/>
          <w:highlight w:val="none"/>
        </w:rPr>
        <w:t>系统要求满足分布式监控需求，监控内的用户向监控系统的资源提出控制要求时，能够依据系统设置的权限，进行资源分配。</w:t>
      </w:r>
    </w:p>
    <w:p>
      <w:pPr>
        <w:adjustRightInd w:val="0"/>
        <w:snapToGrid w:val="0"/>
        <w:spacing w:line="360" w:lineRule="auto"/>
        <w:ind w:firstLine="420" w:firstLineChars="200"/>
        <w:rPr>
          <w:rFonts w:hint="eastAsia" w:ascii="宋体" w:hAnsi="宋体"/>
          <w:bCs/>
          <w:color w:val="000000" w:themeColor="text1"/>
          <w:highlight w:val="none"/>
        </w:rPr>
      </w:pPr>
      <w:r>
        <w:rPr>
          <w:rFonts w:hint="eastAsia" w:ascii="宋体" w:hAnsi="宋体"/>
          <w:bCs/>
          <w:color w:val="000000" w:themeColor="text1"/>
          <w:highlight w:val="none"/>
        </w:rPr>
        <w:t>采用网络视频，系统授权用户可以直接在电脑上利用图形化界面软件对各设备进行操作，进行各种控制和处理，友好的图形化软件界面使得对视频监控系统的各项操作更加简单易行，也可以在计算机网络内进行操作管理。</w:t>
      </w:r>
    </w:p>
    <w:p>
      <w:pPr>
        <w:adjustRightInd w:val="0"/>
        <w:snapToGrid w:val="0"/>
        <w:spacing w:line="360" w:lineRule="auto"/>
        <w:ind w:firstLine="420" w:firstLineChars="200"/>
        <w:rPr>
          <w:rFonts w:hint="eastAsia" w:ascii="宋体" w:hAnsi="宋体"/>
          <w:bCs/>
          <w:color w:val="000000" w:themeColor="text1"/>
          <w:highlight w:val="none"/>
        </w:rPr>
      </w:pPr>
      <w:r>
        <w:rPr>
          <w:rFonts w:hint="eastAsia" w:ascii="宋体" w:hAnsi="宋体"/>
          <w:bCs/>
          <w:color w:val="000000" w:themeColor="text1"/>
          <w:highlight w:val="none"/>
        </w:rPr>
        <w:t>系统兼容性要求，为了便于联网和后续扩容，故要求选用的设备应具备开放性和兼容性。本次建设的视频监控管理平台和前端摄像机对外提供SDK开发包，这样以便于各使用单位进行二次开发。</w:t>
      </w:r>
    </w:p>
    <w:p>
      <w:pPr>
        <w:adjustRightInd w:val="0"/>
        <w:snapToGrid w:val="0"/>
        <w:spacing w:line="360" w:lineRule="auto"/>
        <w:ind w:firstLine="420" w:firstLineChars="200"/>
        <w:rPr>
          <w:rFonts w:hint="eastAsia" w:ascii="宋体" w:hAnsi="宋体"/>
          <w:bCs/>
          <w:color w:val="000000" w:themeColor="text1"/>
          <w:highlight w:val="none"/>
        </w:rPr>
      </w:pPr>
      <w:r>
        <w:rPr>
          <w:rFonts w:hint="eastAsia" w:ascii="宋体" w:hAnsi="宋体"/>
          <w:bCs/>
          <w:color w:val="000000" w:themeColor="text1"/>
          <w:highlight w:val="none"/>
        </w:rPr>
        <w:t>银岭工业区综合安防监控系统，系统规模较大，点位数量多，业务流量大，并且后续存在继续扩容要求。对系统架构的可靠性和可扩展性提出很高要求。要求系统应采用先进的电信级高可靠性架构。监控系统要做到“事前预防，事后举证”。尤其在事后举证上，对数据回放的可靠性、实时性、安全性提出了极高的要求。因此系统应遵循更加适用的合理的架构，实现业务、控制、承载三分离，核心信令采用SIP，符合国标GB/T28181规定，由平台服务器实现图像资源的统一管理、统一控制、统一存储、统一媒体转发调度。系统各部件之间采用标准的信令、媒体、存储和视频编解码协议，可以实现各功能部件的灵活部署，系统容量可弹性扩展。</w:t>
      </w:r>
    </w:p>
    <w:p>
      <w:pPr>
        <w:adjustRightInd w:val="0"/>
        <w:snapToGrid w:val="0"/>
        <w:spacing w:line="360" w:lineRule="auto"/>
        <w:rPr>
          <w:rFonts w:hint="eastAsia" w:ascii="宋体" w:hAnsi="宋体"/>
          <w:bCs/>
          <w:color w:val="000000" w:themeColor="text1"/>
          <w:highlight w:val="none"/>
        </w:rPr>
      </w:pPr>
      <w:bookmarkStart w:id="123" w:name="_Toc414982871"/>
      <w:bookmarkStart w:id="124" w:name="_Toc102161222"/>
      <w:r>
        <w:rPr>
          <w:rFonts w:hint="eastAsia" w:ascii="宋体" w:hAnsi="宋体"/>
          <w:bCs/>
          <w:color w:val="000000" w:themeColor="text1"/>
          <w:highlight w:val="none"/>
        </w:rPr>
        <w:t>（1）产品兼容性需求</w:t>
      </w:r>
      <w:bookmarkEnd w:id="123"/>
      <w:bookmarkEnd w:id="124"/>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1）为了便于联网和后续扩容，故要求选用的设备应具备开放性和兼容性。</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2）不论最终采用何种设备或多厂家的设备，建成后的视频监控管理平台应通过管理平台和前端摄像机对外提供统一的系统级SDK接口，这样以便于各使用单位进行二次开发。</w:t>
      </w:r>
    </w:p>
    <w:p>
      <w:pPr>
        <w:adjustRightInd w:val="0"/>
        <w:snapToGrid w:val="0"/>
        <w:spacing w:line="360" w:lineRule="auto"/>
        <w:rPr>
          <w:rFonts w:hint="eastAsia" w:ascii="宋体" w:hAnsi="宋体"/>
          <w:bCs/>
          <w:color w:val="000000" w:themeColor="text1"/>
          <w:highlight w:val="none"/>
        </w:rPr>
      </w:pPr>
      <w:bookmarkStart w:id="125" w:name="_Toc414982872"/>
      <w:bookmarkStart w:id="126" w:name="_Toc102161223"/>
      <w:r>
        <w:rPr>
          <w:rFonts w:hint="eastAsia" w:ascii="宋体" w:hAnsi="宋体"/>
          <w:bCs/>
          <w:color w:val="000000" w:themeColor="text1"/>
          <w:highlight w:val="none"/>
        </w:rPr>
        <w:t>（2）系统可靠性需求</w:t>
      </w:r>
      <w:bookmarkEnd w:id="125"/>
      <w:bookmarkEnd w:id="126"/>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1）前端设备主智能化为主，具有人脸抓拍，人体抓拍，车辆抓拍，车牌识别等功能。</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2)所有和录像相关的设备，包括服务器、存储设备都应支持双网口冗余，任何一个网口断开连接不影响正常录像。</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3)为保证数据传输稳定性，存储设备应支持至少2路1000Mbps网口，且支持网口绑定和负载均衡。</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4)视频监控管理平台应具有自愈能力，当意外掉电、网络中断等问题修复后，服务器自动回复到故障发生前的状态继续运行。</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5)平台设置支持即时生效，改动参数后不需重启服务。</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6)所有设备支持配置的保存和恢复，具有快速故障恢复能力。</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7）可支持接入视频云平台，实现云端实时监控及存储。</w:t>
      </w:r>
    </w:p>
    <w:p>
      <w:pPr>
        <w:adjustRightInd w:val="0"/>
        <w:snapToGrid w:val="0"/>
        <w:spacing w:line="360" w:lineRule="auto"/>
        <w:rPr>
          <w:rFonts w:hint="eastAsia" w:ascii="宋体" w:hAnsi="宋体"/>
          <w:bCs/>
          <w:color w:val="000000" w:themeColor="text1"/>
          <w:highlight w:val="none"/>
        </w:rPr>
      </w:pPr>
      <w:bookmarkStart w:id="127" w:name="_Toc102161224"/>
      <w:bookmarkStart w:id="128" w:name="_Toc414982873"/>
      <w:r>
        <w:rPr>
          <w:rFonts w:hint="eastAsia" w:ascii="宋体" w:hAnsi="宋体"/>
          <w:b/>
          <w:bCs w:val="0"/>
          <w:color w:val="000000" w:themeColor="text1"/>
          <w:highlight w:val="none"/>
        </w:rPr>
        <w:t>三、监控设备功能需求</w:t>
      </w:r>
      <w:bookmarkEnd w:id="127"/>
      <w:bookmarkEnd w:id="128"/>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1）具有高清网络监控功能：400万以上分辨率高清摄像机进行图像采集，满足低照度、防尘等监控环境，并通过授权对任一监控点进行监控。</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2）全彩或黑光级夜视效果：根据公安机关权威统计的数据统计：接近70%的犯罪都是在夜间发生，从晚上7点到次日凌晨5点是犯罪事件的高发期，黑夜成了罪犯的天然保护伞。</w:t>
      </w:r>
    </w:p>
    <w:p>
      <w:pPr>
        <w:adjustRightInd w:val="0"/>
        <w:snapToGrid w:val="0"/>
        <w:spacing w:line="360" w:lineRule="auto"/>
        <w:rPr>
          <w:rFonts w:hint="eastAsia" w:ascii="宋体" w:hAnsi="宋体"/>
          <w:bCs/>
          <w:color w:val="000000" w:themeColor="text1"/>
          <w:highlight w:val="none"/>
        </w:rPr>
      </w:pPr>
      <w:r>
        <w:rPr>
          <w:rFonts w:hint="eastAsia" w:ascii="宋体" w:hAnsi="宋体"/>
          <w:bCs/>
          <w:color w:val="000000" w:themeColor="text1"/>
          <w:highlight w:val="none"/>
        </w:rPr>
        <w:t xml:space="preserve">鉴于现有厂区摄像机红外补光下色彩缺失、细节不清晰和亮度不足，故推荐在低照度下可以实现画面“亮、净、彩”的全彩/黑光摄像机，全面提升夜间监控效果，提供彩色、清晰、透亮的监控画面，有效提升对细节信息的捕获能力。 </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3）智能警戒功能：由于厂区道路监控多，传统监控在夜晚无法及时有效预警，误报多，为实现智能分析，推荐重要路段采用警戒摄像机，可以实现精准报警/实时警戒/快速回查/声光震慑，智能化摄像无需人工监控，做到自动报警，自动驱赶功能。</w:t>
      </w:r>
    </w:p>
    <w:p>
      <w:pPr>
        <w:adjustRightInd w:val="0"/>
        <w:snapToGrid w:val="0"/>
        <w:spacing w:line="360" w:lineRule="auto"/>
        <w:rPr>
          <w:rFonts w:hint="eastAsia" w:ascii="宋体" w:hAnsi="宋体"/>
          <w:bCs/>
          <w:color w:val="000000" w:themeColor="text1"/>
          <w:highlight w:val="none"/>
        </w:rPr>
      </w:pPr>
      <w:r>
        <w:rPr>
          <w:rFonts w:hint="eastAsia" w:ascii="宋体" w:hAnsi="宋体"/>
          <w:bCs/>
          <w:color w:val="000000" w:themeColor="text1"/>
          <w:highlight w:val="none"/>
        </w:rPr>
        <w:t>识别到人或车的异常行为时，前端警戒摄像机会发出警报震慑，同步会把现场图片、报警视频推送至监控平台弹窗，第一时间通知安保人员，采取避险措施。</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4）人脸/车牌分析功能：传统摄像机无法在全天候条件下有效记录人脸特征及车辆车牌等结构化信息，建议采用人脸/车辆抓拍摄像机，搭配后台分析服务器，实现黑白名单比对分析，以脸搜脸，以图搜图功能，快速检索现场视频信息。</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5）安全运行管理功能：提供多种查询和管理功能，完全防止非法操作。</w:t>
      </w:r>
    </w:p>
    <w:p>
      <w:pPr>
        <w:adjustRightInd w:val="0"/>
        <w:snapToGrid w:val="0"/>
        <w:spacing w:line="360" w:lineRule="auto"/>
        <w:rPr>
          <w:rFonts w:hint="eastAsia" w:ascii="宋体" w:hAnsi="宋体"/>
          <w:bCs/>
          <w:color w:val="000000" w:themeColor="text1"/>
          <w:highlight w:val="none"/>
        </w:rPr>
      </w:pPr>
      <w:bookmarkStart w:id="129" w:name="_Toc102161225"/>
      <w:bookmarkStart w:id="130" w:name="_Toc414982875"/>
      <w:r>
        <w:rPr>
          <w:rFonts w:hint="eastAsia" w:ascii="宋体" w:hAnsi="宋体"/>
          <w:b/>
          <w:bCs w:val="0"/>
          <w:color w:val="000000" w:themeColor="text1"/>
          <w:highlight w:val="none"/>
        </w:rPr>
        <w:t>四、存储设计需求</w:t>
      </w:r>
      <w:bookmarkEnd w:id="129"/>
      <w:bookmarkEnd w:id="130"/>
    </w:p>
    <w:p>
      <w:pPr>
        <w:adjustRightInd w:val="0"/>
        <w:snapToGrid w:val="0"/>
        <w:spacing w:line="360" w:lineRule="auto"/>
        <w:ind w:firstLine="420" w:firstLineChars="200"/>
        <w:rPr>
          <w:rFonts w:hint="eastAsia" w:ascii="宋体" w:hAnsi="宋体"/>
          <w:bCs/>
          <w:color w:val="000000" w:themeColor="text1"/>
          <w:highlight w:val="none"/>
        </w:rPr>
      </w:pPr>
      <w:r>
        <w:rPr>
          <w:rFonts w:hint="eastAsia" w:ascii="宋体" w:hAnsi="宋体"/>
          <w:bCs/>
          <w:color w:val="000000" w:themeColor="text1"/>
          <w:highlight w:val="none"/>
        </w:rPr>
        <w:t>本视频监控存储系统旨在建立一个可行的、先进的、成熟的、高可靠、高可用、易维护、高安全、高开放、高性能、灵活可扩展、易管理的存储平台，保证各监控应用系统高质量地提供连续稳定不间断的服务。</w:t>
      </w:r>
    </w:p>
    <w:p>
      <w:pPr>
        <w:adjustRightInd w:val="0"/>
        <w:snapToGrid w:val="0"/>
        <w:spacing w:line="360" w:lineRule="auto"/>
        <w:rPr>
          <w:rFonts w:hint="eastAsia" w:ascii="宋体" w:hAnsi="宋体"/>
          <w:bCs/>
          <w:color w:val="000000" w:themeColor="text1"/>
          <w:highlight w:val="none"/>
        </w:rPr>
      </w:pPr>
      <w:r>
        <w:rPr>
          <w:rFonts w:hint="eastAsia" w:ascii="宋体" w:hAnsi="宋体"/>
          <w:bCs/>
          <w:color w:val="000000" w:themeColor="text1"/>
          <w:highlight w:val="none"/>
        </w:rPr>
        <w:t>本视频监控存储系统项目的建设中，作为核心基础设施的存储系统，应当达到以下主要目标：</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1）要求在连续写环境下实现随机读的快速处理；</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2）存储系统要求可靠性高,稳定性强,支持7*24小时不间断工作；</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3）采用高性能高可靠性成熟的存储架构，同时满足视频数据存储空间需求</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4）系统方案设计适用于多台主机和存储系统连接,并且确保无单点故障;</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5）系统可管理性强,管理方式简单,易操作,系统具有自动恢复功能,在断电后能够迅速重新启动;</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6）实现监控中心核心业务的连续可用性和数据保护以及设备级的快速灾难恢复；</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7）数据实现统一管理，针对重要的视频数据可进行快速备份恢复及数据归档和迁移管理</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8）支持在海量视频数据中的在线快速读取所需视频录像；</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9）支持32位或64位操作系统，保证系统在7X24小时海量视频数据连续存取时的稳定性和可靠性。</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10）拥有2个以太网接口，配合监控专网的核心交换机实现支持链路聚合和动态故障切换，在保证数据读写带宽的同时保障数据通路的可用和畅通。</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11）支持磁盘漫游，即存储系统内部磁盘可以任意的更换位置，而磁盘内部的阵列配置信息和数据完全不会改变或丢失，可避免由于磁盘被错误插拔而导致的数据丢失。</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12）支持RAID 0、1、5、6、10等多种RAID级别，热备方式上可以选择专用热备盘、全局热备盘或空闲磁盘热备。</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13）选配冗余的、负载均衡的热插拔电源，支持电源自动故障切换和在线故障电源更换。多个冗余风扇可对所有的磁盘和控制单元进行散热，可保证整个系统长时间的正常稳定运行。</w:t>
      </w:r>
    </w:p>
    <w:p>
      <w:pPr>
        <w:adjustRightInd w:val="0"/>
        <w:snapToGrid w:val="0"/>
        <w:spacing w:line="360" w:lineRule="auto"/>
        <w:ind w:firstLine="210" w:firstLineChars="100"/>
        <w:rPr>
          <w:rFonts w:hint="eastAsia" w:ascii="宋体" w:hAnsi="宋体"/>
          <w:bCs/>
          <w:color w:val="000000" w:themeColor="text1"/>
          <w:highlight w:val="none"/>
        </w:rPr>
      </w:pPr>
      <w:r>
        <w:rPr>
          <w:rFonts w:hint="eastAsia" w:ascii="宋体" w:hAnsi="宋体"/>
          <w:bCs/>
          <w:color w:val="000000" w:themeColor="text1"/>
          <w:highlight w:val="none"/>
        </w:rPr>
        <w:t>14）缓存掉电保护功能可在供电故障时为缓存数据提供永久保护，有效防止数据丢失。</w:t>
      </w:r>
    </w:p>
    <w:p>
      <w:pPr>
        <w:adjustRightInd w:val="0"/>
        <w:snapToGrid w:val="0"/>
        <w:spacing w:line="360" w:lineRule="auto"/>
        <w:rPr>
          <w:rFonts w:hint="eastAsia" w:ascii="宋体" w:hAnsi="宋体"/>
          <w:b/>
          <w:bCs w:val="0"/>
          <w:color w:val="000000" w:themeColor="text1"/>
          <w:highlight w:val="none"/>
        </w:rPr>
      </w:pPr>
      <w:bookmarkStart w:id="131" w:name="_Toc102161226"/>
      <w:bookmarkStart w:id="132" w:name="_Toc414982876"/>
      <w:r>
        <w:rPr>
          <w:rFonts w:hint="eastAsia" w:ascii="宋体" w:hAnsi="宋体"/>
          <w:b/>
          <w:bCs w:val="0"/>
          <w:color w:val="000000" w:themeColor="text1"/>
          <w:highlight w:val="none"/>
          <w:lang w:val="en-US" w:eastAsia="zh-CN"/>
        </w:rPr>
        <w:t>五</w:t>
      </w:r>
      <w:r>
        <w:rPr>
          <w:rFonts w:hint="eastAsia" w:ascii="宋体" w:hAnsi="宋体"/>
          <w:b/>
          <w:bCs w:val="0"/>
          <w:color w:val="000000" w:themeColor="text1"/>
          <w:highlight w:val="none"/>
        </w:rPr>
        <w:t>、监控中心功能需求</w:t>
      </w:r>
      <w:bookmarkEnd w:id="131"/>
      <w:bookmarkEnd w:id="132"/>
    </w:p>
    <w:p>
      <w:pPr>
        <w:adjustRightInd w:val="0"/>
        <w:snapToGrid w:val="0"/>
        <w:spacing w:line="360" w:lineRule="auto"/>
        <w:rPr>
          <w:rFonts w:hint="eastAsia" w:ascii="宋体" w:hAnsi="宋体"/>
          <w:bCs/>
          <w:color w:val="000000" w:themeColor="text1"/>
          <w:highlight w:val="none"/>
        </w:rPr>
      </w:pPr>
      <w:r>
        <w:rPr>
          <w:rFonts w:hint="eastAsia" w:ascii="宋体" w:hAnsi="宋体"/>
          <w:bCs/>
          <w:color w:val="000000" w:themeColor="text1"/>
          <w:highlight w:val="none"/>
        </w:rPr>
        <w:t>1) 监控中心采用9块LCD拼接屏显示前端网络视频信号，拼接屏幕要求通过视频综合平台实现前端视频信号的解码上墙、拼接、漫游、开窗等功能。</w:t>
      </w:r>
    </w:p>
    <w:p>
      <w:pPr>
        <w:adjustRightInd w:val="0"/>
        <w:snapToGrid w:val="0"/>
        <w:spacing w:line="360" w:lineRule="auto"/>
        <w:rPr>
          <w:rFonts w:hint="eastAsia" w:ascii="宋体" w:hAnsi="宋体"/>
          <w:bCs/>
          <w:color w:val="000000" w:themeColor="text1"/>
          <w:highlight w:val="none"/>
        </w:rPr>
      </w:pPr>
      <w:r>
        <w:rPr>
          <w:rFonts w:hint="eastAsia" w:ascii="宋体" w:hAnsi="宋体"/>
          <w:bCs/>
          <w:color w:val="000000" w:themeColor="text1"/>
          <w:highlight w:val="none"/>
        </w:rPr>
        <w:t>2）搭建一套联网视频安防管理平台，实现对园区约150只摄像机统一管理，配置及接受前端的报警及处置。</w:t>
      </w:r>
    </w:p>
    <w:p>
      <w:pPr>
        <w:adjustRightInd w:val="0"/>
        <w:snapToGrid w:val="0"/>
        <w:spacing w:line="360" w:lineRule="auto"/>
        <w:rPr>
          <w:rFonts w:hint="eastAsia" w:ascii="宋体" w:hAnsi="宋体"/>
          <w:bCs/>
          <w:color w:val="000000" w:themeColor="text1"/>
          <w:highlight w:val="none"/>
        </w:rPr>
      </w:pPr>
      <w:r>
        <w:rPr>
          <w:rFonts w:hint="eastAsia" w:ascii="宋体" w:hAnsi="宋体"/>
          <w:bCs/>
          <w:color w:val="000000" w:themeColor="text1"/>
          <w:highlight w:val="none"/>
        </w:rPr>
        <w:t>3）搭建一套实景地图应用平台，实现对园区内13个高空全景摄像机进行实景地图的可视化地图看板，可通过对实景内的标签联动即时视频。</w:t>
      </w:r>
    </w:p>
    <w:p>
      <w:pPr>
        <w:adjustRightInd w:val="0"/>
        <w:snapToGrid w:val="0"/>
        <w:spacing w:line="360" w:lineRule="auto"/>
        <w:rPr>
          <w:rFonts w:hint="eastAsia" w:ascii="宋体" w:hAnsi="宋体"/>
          <w:bCs/>
          <w:color w:val="000000" w:themeColor="text1"/>
          <w:highlight w:val="none"/>
        </w:rPr>
      </w:pPr>
      <w:r>
        <w:rPr>
          <w:rFonts w:hint="eastAsia" w:ascii="宋体" w:hAnsi="宋体"/>
          <w:bCs/>
          <w:color w:val="000000" w:themeColor="text1"/>
          <w:highlight w:val="none"/>
        </w:rPr>
        <w:t>4）搭建园区数据可视化平台，实现对园区的数据进行可视化设计功能以及数据可视化设计服务，满足数据可视化需求，向用户展示全方位的数据看板，便于用户进行统一管理、指挥。</w:t>
      </w:r>
    </w:p>
    <w:p>
      <w:pPr>
        <w:adjustRightInd w:val="0"/>
        <w:snapToGrid w:val="0"/>
        <w:spacing w:line="360" w:lineRule="auto"/>
        <w:rPr>
          <w:rFonts w:hint="eastAsia" w:ascii="宋体" w:hAnsi="宋体"/>
          <w:bCs/>
          <w:color w:val="000000" w:themeColor="text1"/>
          <w:highlight w:val="none"/>
        </w:rPr>
      </w:pPr>
      <w:r>
        <w:rPr>
          <w:rFonts w:hint="eastAsia" w:ascii="宋体" w:hAnsi="宋体"/>
          <w:bCs/>
          <w:color w:val="000000" w:themeColor="text1"/>
          <w:highlight w:val="none"/>
        </w:rPr>
        <w:t>5)监控中心需通过智能分析服务器对前端采集的图像进行智能分析，对园区周界、禁止闯入区域进行智能分析，当出现报警时，监控中心需要弹出报警提示并联动录像。</w:t>
      </w:r>
    </w:p>
    <w:p>
      <w:pPr>
        <w:adjustRightInd w:val="0"/>
        <w:snapToGrid w:val="0"/>
        <w:spacing w:line="360" w:lineRule="auto"/>
        <w:rPr>
          <w:rFonts w:hint="eastAsia" w:ascii="宋体" w:hAnsi="宋体"/>
          <w:bCs/>
          <w:color w:val="000000" w:themeColor="text1"/>
          <w:highlight w:val="none"/>
        </w:rPr>
      </w:pPr>
      <w:r>
        <w:rPr>
          <w:rFonts w:hint="eastAsia" w:ascii="宋体" w:hAnsi="宋体"/>
          <w:bCs/>
          <w:color w:val="000000" w:themeColor="text1"/>
          <w:highlight w:val="none"/>
        </w:rPr>
        <w:t>6）监控中心配置高性能磁盘阵列，实现对前端视频的存储和报警触发的视频存储。上级监控中心可按需配置高性能磁盘阵列，对重要视频信息进行备份存储。</w:t>
      </w:r>
    </w:p>
    <w:p>
      <w:pPr>
        <w:adjustRightInd w:val="0"/>
        <w:snapToGrid w:val="0"/>
        <w:spacing w:line="360" w:lineRule="auto"/>
        <w:rPr>
          <w:rFonts w:hint="eastAsia" w:ascii="宋体" w:hAnsi="宋体"/>
          <w:bCs/>
          <w:color w:val="000000" w:themeColor="text1"/>
          <w:highlight w:val="none"/>
        </w:rPr>
      </w:pPr>
      <w:r>
        <w:rPr>
          <w:rFonts w:hint="eastAsia" w:ascii="宋体" w:hAnsi="宋体"/>
          <w:bCs/>
          <w:color w:val="000000" w:themeColor="text1"/>
          <w:highlight w:val="none"/>
        </w:rPr>
        <w:t>7）监控中心需配置高性能管理服务器、数据库服务器、级联服务器安装综合视频监管系统，通过综合视频监管系统实现对整个厂区所有前端网络摄像机的视频画面查看和管理，对客户端以及监控中心各类服务器、网络存储、视频综合平台等其他所有设备进行管理和配置。</w:t>
      </w:r>
    </w:p>
    <w:p>
      <w:pPr>
        <w:adjustRightInd w:val="0"/>
        <w:snapToGrid w:val="0"/>
        <w:spacing w:line="360" w:lineRule="auto"/>
        <w:rPr>
          <w:rFonts w:hint="eastAsia" w:ascii="宋体" w:hAnsi="宋体"/>
          <w:bCs/>
          <w:color w:val="000000" w:themeColor="text1"/>
          <w:highlight w:val="none"/>
        </w:rPr>
      </w:pPr>
      <w:r>
        <w:rPr>
          <w:rFonts w:hint="eastAsia" w:ascii="宋体" w:hAnsi="宋体"/>
          <w:bCs/>
          <w:color w:val="000000" w:themeColor="text1"/>
          <w:highlight w:val="none"/>
        </w:rPr>
        <w:t>8)综合视频监管系统需要具备权限管理，不同装置客户端用户需配置不同权限，对可以查看的视频有所限制。</w:t>
      </w:r>
    </w:p>
    <w:p>
      <w:pPr>
        <w:adjustRightInd w:val="0"/>
        <w:snapToGrid w:val="0"/>
        <w:spacing w:line="360" w:lineRule="auto"/>
        <w:rPr>
          <w:rFonts w:hint="eastAsia" w:ascii="宋体" w:hAnsi="宋体"/>
          <w:bCs/>
          <w:color w:val="000000" w:themeColor="text1"/>
          <w:highlight w:val="none"/>
        </w:rPr>
      </w:pPr>
      <w:r>
        <w:rPr>
          <w:rFonts w:hint="eastAsia" w:ascii="宋体" w:hAnsi="宋体"/>
          <w:bCs/>
          <w:color w:val="000000" w:themeColor="text1"/>
          <w:highlight w:val="none"/>
        </w:rPr>
        <w:t>9)系统需要实现同一图像多级，多点同时观看，有利于统一指挥和多级多点同时监管。</w:t>
      </w:r>
    </w:p>
    <w:p>
      <w:pPr>
        <w:adjustRightInd w:val="0"/>
        <w:snapToGrid w:val="0"/>
        <w:spacing w:line="360" w:lineRule="auto"/>
        <w:rPr>
          <w:rFonts w:hint="eastAsia" w:ascii="宋体" w:hAnsi="宋体"/>
          <w:bCs/>
          <w:color w:val="000000" w:themeColor="text1"/>
          <w:highlight w:val="none"/>
        </w:rPr>
      </w:pPr>
      <w:r>
        <w:rPr>
          <w:rFonts w:hint="eastAsia" w:ascii="宋体" w:hAnsi="宋体"/>
          <w:bCs/>
          <w:color w:val="000000" w:themeColor="text1"/>
          <w:highlight w:val="none"/>
        </w:rPr>
        <w:t>10) 上级监控中心需要使用视频质量诊断系统对前端设备图像质量进行智能分析，对视频图像的清晰度（图像模糊）、噪声干扰（雪花点、条纹、滚屏）、亮度异常（过量、过暗）、偏色、画面冻结、视频丢失、云台失控等常见摄像机故障进行检测。</w:t>
      </w:r>
    </w:p>
    <w:p>
      <w:pPr>
        <w:adjustRightInd w:val="0"/>
        <w:snapToGrid w:val="0"/>
        <w:spacing w:line="360" w:lineRule="auto"/>
        <w:rPr>
          <w:rFonts w:hint="eastAsia" w:ascii="宋体" w:hAnsi="宋体"/>
          <w:b/>
          <w:bCs w:val="0"/>
          <w:color w:val="000000" w:themeColor="text1"/>
          <w:highlight w:val="none"/>
        </w:rPr>
      </w:pPr>
      <w:bookmarkStart w:id="133" w:name="_Toc491890987"/>
      <w:bookmarkStart w:id="134" w:name="_Toc108123512"/>
      <w:bookmarkStart w:id="135" w:name="_Toc322807750"/>
      <w:bookmarkStart w:id="136" w:name="_Toc213346053"/>
      <w:bookmarkStart w:id="137" w:name="_Toc217720570"/>
      <w:r>
        <w:rPr>
          <w:rFonts w:hint="eastAsia" w:ascii="宋体" w:hAnsi="宋体"/>
          <w:b/>
          <w:bCs w:val="0"/>
          <w:color w:val="000000" w:themeColor="text1"/>
          <w:highlight w:val="none"/>
          <w:lang w:val="en-US" w:eastAsia="zh-CN"/>
        </w:rPr>
        <w:t>六</w:t>
      </w:r>
      <w:r>
        <w:rPr>
          <w:rFonts w:hint="eastAsia" w:ascii="宋体" w:hAnsi="宋体"/>
          <w:b/>
          <w:bCs w:val="0"/>
          <w:color w:val="000000" w:themeColor="text1"/>
          <w:highlight w:val="none"/>
        </w:rPr>
        <w:t>、</w:t>
      </w:r>
      <w:r>
        <w:rPr>
          <w:rFonts w:hint="eastAsia" w:ascii="宋体" w:hAnsi="宋体"/>
          <w:b/>
          <w:bCs w:val="0"/>
          <w:color w:val="000000" w:themeColor="text1"/>
          <w:highlight w:val="none"/>
          <w:lang w:val="en-US" w:eastAsia="zh-CN"/>
        </w:rPr>
        <w:t>项目</w:t>
      </w:r>
      <w:r>
        <w:rPr>
          <w:rFonts w:hint="eastAsia" w:ascii="宋体" w:hAnsi="宋体"/>
          <w:b/>
          <w:bCs w:val="0"/>
          <w:color w:val="000000" w:themeColor="text1"/>
          <w:highlight w:val="none"/>
        </w:rPr>
        <w:t>任务和内容</w:t>
      </w:r>
      <w:bookmarkEnd w:id="133"/>
      <w:bookmarkEnd w:id="134"/>
      <w:bookmarkEnd w:id="135"/>
    </w:p>
    <w:p>
      <w:pPr>
        <w:adjustRightInd w:val="0"/>
        <w:snapToGrid w:val="0"/>
        <w:spacing w:line="360" w:lineRule="auto"/>
        <w:ind w:firstLine="420" w:firstLineChars="200"/>
        <w:rPr>
          <w:rFonts w:hint="eastAsia" w:ascii="宋体" w:hAnsi="宋体"/>
          <w:bCs/>
          <w:color w:val="000000" w:themeColor="text1"/>
          <w:highlight w:val="none"/>
        </w:rPr>
      </w:pPr>
      <w:r>
        <w:rPr>
          <w:rFonts w:hint="eastAsia" w:ascii="宋体" w:hAnsi="宋体"/>
          <w:bCs/>
          <w:color w:val="000000" w:themeColor="text1"/>
          <w:highlight w:val="none"/>
        </w:rPr>
        <w:t>健全园区立体化社会治安防控运行机制，建立园区路口监控和高空瞭望监控治安防控网络，以及重点公共场所广播系统。以科技信息化为牵引，大力推进打防管控一体化，努力实现集约合成、高效运作，着力提高社会治安防控体系的整体效能，增强社会治安整体防控能力，努力使影响公共安全的暴力恐怖犯罪、个人极端暴力犯罪等得到有效遏制，使影响群众安全感的多发性案件和公共安全事故得到有效防范，人民群众安全感和满意度明显提升，社会更加和谐有序。</w:t>
      </w:r>
    </w:p>
    <w:tbl>
      <w:tblPr>
        <w:tblStyle w:val="47"/>
        <w:tblW w:w="485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4"/>
        <w:gridCol w:w="1464"/>
        <w:gridCol w:w="6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5" w:type="pct"/>
            <w:vMerge w:val="restart"/>
            <w:noWrap w:val="0"/>
            <w:vAlign w:val="center"/>
          </w:tcPr>
          <w:p>
            <w:pPr>
              <w:adjustRightInd w:val="0"/>
              <w:snapToGrid w:val="0"/>
              <w:spacing w:line="360" w:lineRule="auto"/>
              <w:jc w:val="center"/>
              <w:rPr>
                <w:rFonts w:hint="eastAsia" w:ascii="宋体" w:hAnsi="宋体"/>
                <w:bCs/>
                <w:color w:val="000000" w:themeColor="text1"/>
                <w:highlight w:val="none"/>
              </w:rPr>
            </w:pPr>
            <w:r>
              <w:rPr>
                <w:rFonts w:hint="eastAsia" w:ascii="宋体" w:hAnsi="宋体"/>
                <w:bCs/>
                <w:color w:val="000000" w:themeColor="text1"/>
                <w:highlight w:val="none"/>
                <w:lang w:val="en-US" w:eastAsia="zh-CN"/>
              </w:rPr>
              <w:t>项目</w:t>
            </w:r>
            <w:r>
              <w:rPr>
                <w:rFonts w:hint="eastAsia" w:ascii="宋体" w:hAnsi="宋体"/>
                <w:bCs/>
                <w:color w:val="000000" w:themeColor="text1"/>
                <w:highlight w:val="none"/>
              </w:rPr>
              <w:t>内容</w:t>
            </w:r>
          </w:p>
        </w:tc>
        <w:tc>
          <w:tcPr>
            <w:tcW w:w="779" w:type="pct"/>
            <w:noWrap w:val="0"/>
            <w:vAlign w:val="center"/>
          </w:tcPr>
          <w:p>
            <w:pPr>
              <w:adjustRightInd w:val="0"/>
              <w:snapToGrid w:val="0"/>
              <w:spacing w:line="360" w:lineRule="auto"/>
              <w:jc w:val="center"/>
              <w:rPr>
                <w:rFonts w:hint="eastAsia" w:ascii="宋体" w:hAnsi="宋体"/>
                <w:bCs/>
                <w:color w:val="000000" w:themeColor="text1"/>
                <w:highlight w:val="none"/>
              </w:rPr>
            </w:pPr>
            <w:r>
              <w:rPr>
                <w:rFonts w:hint="eastAsia" w:ascii="宋体" w:hAnsi="宋体"/>
                <w:bCs/>
                <w:color w:val="000000" w:themeColor="text1"/>
                <w:highlight w:val="none"/>
              </w:rPr>
              <w:t>前端系统</w:t>
            </w:r>
          </w:p>
        </w:tc>
        <w:tc>
          <w:tcPr>
            <w:tcW w:w="3434" w:type="pct"/>
            <w:noWrap w:val="0"/>
            <w:vAlign w:val="top"/>
          </w:tcPr>
          <w:p>
            <w:pPr>
              <w:adjustRightInd w:val="0"/>
              <w:snapToGrid w:val="0"/>
              <w:spacing w:line="360" w:lineRule="auto"/>
              <w:rPr>
                <w:rFonts w:hint="eastAsia" w:ascii="宋体" w:hAnsi="宋体"/>
                <w:bCs/>
                <w:color w:val="000000" w:themeColor="text1"/>
                <w:highlight w:val="none"/>
              </w:rPr>
            </w:pPr>
            <w:r>
              <w:rPr>
                <w:rFonts w:hint="eastAsia" w:ascii="宋体" w:hAnsi="宋体"/>
                <w:bCs/>
                <w:color w:val="000000" w:themeColor="text1"/>
                <w:highlight w:val="none"/>
              </w:rPr>
              <w:t>建设高空瞭望摄像机（13支）、路口监控摄像机（131支）、重要路口广播（25支）；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5" w:type="pct"/>
            <w:vMerge w:val="continue"/>
            <w:noWrap w:val="0"/>
            <w:vAlign w:val="top"/>
          </w:tcPr>
          <w:p>
            <w:pPr>
              <w:adjustRightInd w:val="0"/>
              <w:snapToGrid w:val="0"/>
              <w:spacing w:line="360" w:lineRule="auto"/>
              <w:rPr>
                <w:rFonts w:hint="eastAsia" w:ascii="宋体" w:hAnsi="宋体"/>
                <w:bCs/>
                <w:color w:val="000000" w:themeColor="text1"/>
                <w:highlight w:val="none"/>
              </w:rPr>
            </w:pPr>
          </w:p>
        </w:tc>
        <w:tc>
          <w:tcPr>
            <w:tcW w:w="779" w:type="pct"/>
            <w:noWrap w:val="0"/>
            <w:vAlign w:val="center"/>
          </w:tcPr>
          <w:p>
            <w:pPr>
              <w:adjustRightInd w:val="0"/>
              <w:snapToGrid w:val="0"/>
              <w:spacing w:line="360" w:lineRule="auto"/>
              <w:jc w:val="center"/>
              <w:rPr>
                <w:rFonts w:hint="eastAsia" w:ascii="宋体" w:hAnsi="宋体"/>
                <w:bCs/>
                <w:color w:val="000000" w:themeColor="text1"/>
                <w:highlight w:val="none"/>
              </w:rPr>
            </w:pPr>
            <w:r>
              <w:rPr>
                <w:rFonts w:hint="eastAsia" w:ascii="宋体" w:hAnsi="宋体"/>
                <w:bCs/>
                <w:color w:val="000000" w:themeColor="text1"/>
                <w:highlight w:val="none"/>
              </w:rPr>
              <w:t>后台系统</w:t>
            </w:r>
          </w:p>
        </w:tc>
        <w:tc>
          <w:tcPr>
            <w:tcW w:w="3434" w:type="pct"/>
            <w:noWrap w:val="0"/>
            <w:vAlign w:val="top"/>
          </w:tcPr>
          <w:p>
            <w:pPr>
              <w:adjustRightInd w:val="0"/>
              <w:snapToGrid w:val="0"/>
              <w:spacing w:line="360" w:lineRule="auto"/>
              <w:rPr>
                <w:rFonts w:hint="eastAsia" w:ascii="宋体" w:hAnsi="宋体"/>
                <w:bCs/>
                <w:color w:val="000000" w:themeColor="text1"/>
                <w:highlight w:val="none"/>
              </w:rPr>
            </w:pPr>
            <w:r>
              <w:rPr>
                <w:rFonts w:hint="eastAsia" w:ascii="宋体" w:hAnsi="宋体"/>
                <w:bCs/>
                <w:color w:val="000000" w:themeColor="text1"/>
                <w:highlight w:val="none"/>
              </w:rPr>
              <w:t>新建综合安防管理平台； AR实景地图应用平台；数据可视化平台；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5" w:type="pct"/>
            <w:vMerge w:val="continue"/>
            <w:noWrap w:val="0"/>
            <w:vAlign w:val="top"/>
          </w:tcPr>
          <w:p>
            <w:pPr>
              <w:adjustRightInd w:val="0"/>
              <w:snapToGrid w:val="0"/>
              <w:spacing w:line="360" w:lineRule="auto"/>
              <w:rPr>
                <w:rFonts w:hint="eastAsia" w:ascii="宋体" w:hAnsi="宋体"/>
                <w:bCs/>
                <w:color w:val="000000" w:themeColor="text1"/>
                <w:highlight w:val="none"/>
              </w:rPr>
            </w:pPr>
          </w:p>
        </w:tc>
        <w:tc>
          <w:tcPr>
            <w:tcW w:w="779" w:type="pct"/>
            <w:noWrap w:val="0"/>
            <w:vAlign w:val="center"/>
          </w:tcPr>
          <w:p>
            <w:pPr>
              <w:adjustRightInd w:val="0"/>
              <w:snapToGrid w:val="0"/>
              <w:spacing w:line="360" w:lineRule="auto"/>
              <w:jc w:val="center"/>
              <w:rPr>
                <w:rFonts w:hint="eastAsia" w:ascii="宋体" w:hAnsi="宋体"/>
                <w:bCs/>
                <w:color w:val="000000" w:themeColor="text1"/>
                <w:highlight w:val="none"/>
              </w:rPr>
            </w:pPr>
            <w:r>
              <w:rPr>
                <w:rFonts w:hint="eastAsia" w:ascii="宋体" w:hAnsi="宋体"/>
                <w:bCs/>
                <w:color w:val="000000" w:themeColor="text1"/>
                <w:highlight w:val="none"/>
              </w:rPr>
              <w:t>线路部分</w:t>
            </w:r>
          </w:p>
        </w:tc>
        <w:tc>
          <w:tcPr>
            <w:tcW w:w="3434" w:type="pct"/>
            <w:noWrap w:val="0"/>
            <w:vAlign w:val="top"/>
          </w:tcPr>
          <w:p>
            <w:pPr>
              <w:adjustRightInd w:val="0"/>
              <w:snapToGrid w:val="0"/>
              <w:spacing w:line="360" w:lineRule="auto"/>
              <w:rPr>
                <w:rFonts w:hint="eastAsia" w:ascii="宋体" w:hAnsi="宋体"/>
                <w:bCs/>
                <w:color w:val="000000" w:themeColor="text1"/>
                <w:highlight w:val="none"/>
              </w:rPr>
            </w:pPr>
            <w:r>
              <w:rPr>
                <w:rFonts w:hint="eastAsia" w:ascii="宋体" w:hAnsi="宋体"/>
                <w:bCs/>
                <w:color w:val="000000" w:themeColor="text1"/>
                <w:highlight w:val="none"/>
              </w:rPr>
              <w:t>租赁运营商电路，包括前端至园区监控中心的光纤链路以及相关传输设备的升级、安装、铺设、调试和维护工作；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5" w:type="pct"/>
            <w:vMerge w:val="continue"/>
            <w:noWrap w:val="0"/>
            <w:vAlign w:val="top"/>
          </w:tcPr>
          <w:p>
            <w:pPr>
              <w:adjustRightInd w:val="0"/>
              <w:snapToGrid w:val="0"/>
              <w:spacing w:line="360" w:lineRule="auto"/>
              <w:rPr>
                <w:rFonts w:hint="eastAsia" w:ascii="宋体" w:hAnsi="宋体"/>
                <w:bCs/>
                <w:color w:val="000000" w:themeColor="text1"/>
                <w:highlight w:val="none"/>
              </w:rPr>
            </w:pPr>
          </w:p>
        </w:tc>
        <w:tc>
          <w:tcPr>
            <w:tcW w:w="779" w:type="pct"/>
            <w:noWrap w:val="0"/>
            <w:vAlign w:val="center"/>
          </w:tcPr>
          <w:p>
            <w:pPr>
              <w:adjustRightInd w:val="0"/>
              <w:snapToGrid w:val="0"/>
              <w:spacing w:line="360" w:lineRule="auto"/>
              <w:jc w:val="center"/>
              <w:rPr>
                <w:rFonts w:hint="eastAsia" w:ascii="宋体" w:hAnsi="宋体"/>
                <w:bCs/>
                <w:color w:val="000000" w:themeColor="text1"/>
                <w:highlight w:val="none"/>
              </w:rPr>
            </w:pPr>
            <w:r>
              <w:rPr>
                <w:rFonts w:hint="eastAsia" w:ascii="宋体" w:hAnsi="宋体"/>
                <w:bCs/>
                <w:color w:val="000000" w:themeColor="text1"/>
                <w:highlight w:val="none"/>
              </w:rPr>
              <w:t>维护部分</w:t>
            </w:r>
          </w:p>
        </w:tc>
        <w:tc>
          <w:tcPr>
            <w:tcW w:w="3434" w:type="pct"/>
            <w:noWrap w:val="0"/>
            <w:vAlign w:val="top"/>
          </w:tcPr>
          <w:p>
            <w:pPr>
              <w:adjustRightInd w:val="0"/>
              <w:snapToGrid w:val="0"/>
              <w:spacing w:line="360" w:lineRule="auto"/>
              <w:rPr>
                <w:rFonts w:hint="eastAsia" w:ascii="宋体" w:hAnsi="宋体"/>
                <w:bCs/>
                <w:color w:val="000000" w:themeColor="text1"/>
                <w:highlight w:val="none"/>
              </w:rPr>
            </w:pPr>
            <w:r>
              <w:rPr>
                <w:rFonts w:hint="eastAsia" w:ascii="宋体" w:hAnsi="宋体"/>
                <w:bCs/>
                <w:color w:val="000000" w:themeColor="text1"/>
                <w:highlight w:val="none"/>
              </w:rPr>
              <w:t>该项目维护保养服务期限为5年。</w:t>
            </w:r>
          </w:p>
        </w:tc>
      </w:tr>
      <w:bookmarkEnd w:id="136"/>
      <w:bookmarkEnd w:id="137"/>
    </w:tbl>
    <w:p>
      <w:pPr>
        <w:adjustRightInd w:val="0"/>
        <w:snapToGrid w:val="0"/>
        <w:spacing w:line="360" w:lineRule="auto"/>
        <w:rPr>
          <w:rFonts w:hint="eastAsia" w:ascii="宋体" w:hAnsi="宋体"/>
          <w:b/>
          <w:bCs w:val="0"/>
          <w:color w:val="000000" w:themeColor="text1"/>
          <w:highlight w:val="none"/>
          <w:lang w:val="en-US" w:eastAsia="zh-CN"/>
        </w:rPr>
      </w:pPr>
      <w:r>
        <w:rPr>
          <w:rFonts w:hint="eastAsia" w:ascii="宋体" w:hAnsi="宋体"/>
          <w:b/>
          <w:bCs w:val="0"/>
          <w:color w:val="000000" w:themeColor="text1"/>
          <w:highlight w:val="none"/>
          <w:lang w:val="en-US" w:eastAsia="zh-CN"/>
        </w:rPr>
        <w:t>七、设备参数及数量</w:t>
      </w:r>
    </w:p>
    <w:tbl>
      <w:tblPr>
        <w:tblStyle w:val="47"/>
        <w:tblW w:w="9887" w:type="dxa"/>
        <w:jc w:val="center"/>
        <w:tblLayout w:type="fixed"/>
        <w:tblCellMar>
          <w:top w:w="0" w:type="dxa"/>
          <w:left w:w="108" w:type="dxa"/>
          <w:bottom w:w="0" w:type="dxa"/>
          <w:right w:w="108" w:type="dxa"/>
        </w:tblCellMar>
      </w:tblPr>
      <w:tblGrid>
        <w:gridCol w:w="769"/>
        <w:gridCol w:w="1406"/>
        <w:gridCol w:w="6043"/>
        <w:gridCol w:w="934"/>
        <w:gridCol w:w="735"/>
      </w:tblGrid>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shd w:val="clear" w:color="auto" w:fill="A6A6A6"/>
            <w:noWrap w:val="0"/>
            <w:vAlign w:val="center"/>
          </w:tcPr>
          <w:p>
            <w:pPr>
              <w:widowControl/>
              <w:jc w:val="left"/>
              <w:textAlignment w:val="center"/>
              <w:rPr>
                <w:rFonts w:hint="eastAsia" w:ascii="宋体" w:hAnsi="宋体" w:cs="宋体"/>
                <w:b/>
                <w:bCs/>
                <w:color w:val="000000" w:themeColor="text1"/>
                <w:sz w:val="20"/>
                <w:szCs w:val="20"/>
                <w:highlight w:val="none"/>
              </w:rPr>
            </w:pPr>
          </w:p>
        </w:tc>
        <w:tc>
          <w:tcPr>
            <w:tcW w:w="1406" w:type="dxa"/>
            <w:tcBorders>
              <w:top w:val="single" w:color="000000" w:sz="4" w:space="0"/>
              <w:left w:val="single" w:color="000000" w:sz="4" w:space="0"/>
              <w:bottom w:val="single" w:color="000000" w:sz="4" w:space="0"/>
              <w:right w:val="single" w:color="000000" w:sz="4" w:space="0"/>
            </w:tcBorders>
            <w:shd w:val="clear" w:color="auto" w:fill="A6A6A6"/>
            <w:noWrap w:val="0"/>
            <w:vAlign w:val="center"/>
          </w:tcPr>
          <w:p>
            <w:pPr>
              <w:widowControl/>
              <w:jc w:val="left"/>
              <w:textAlignment w:val="center"/>
              <w:rPr>
                <w:rFonts w:hint="eastAsia" w:ascii="宋体" w:hAnsi="宋体" w:cs="宋体"/>
                <w:b/>
                <w:bCs/>
                <w:color w:val="000000" w:themeColor="text1"/>
                <w:sz w:val="20"/>
                <w:szCs w:val="20"/>
                <w:highlight w:val="none"/>
              </w:rPr>
            </w:pPr>
            <w:r>
              <w:rPr>
                <w:rFonts w:hint="eastAsia" w:ascii="宋体" w:hAnsi="宋体" w:cs="宋体"/>
                <w:b/>
                <w:bCs/>
                <w:color w:val="000000" w:themeColor="text1"/>
                <w:kern w:val="0"/>
                <w:sz w:val="20"/>
                <w:szCs w:val="20"/>
                <w:highlight w:val="none"/>
                <w:lang w:bidi="ar"/>
              </w:rPr>
              <w:t>设备名称</w:t>
            </w:r>
          </w:p>
        </w:tc>
        <w:tc>
          <w:tcPr>
            <w:tcW w:w="6043" w:type="dxa"/>
            <w:tcBorders>
              <w:top w:val="single" w:color="000000" w:sz="4" w:space="0"/>
              <w:left w:val="single" w:color="000000" w:sz="4" w:space="0"/>
              <w:bottom w:val="single" w:color="000000" w:sz="4" w:space="0"/>
              <w:right w:val="single" w:color="000000" w:sz="4" w:space="0"/>
            </w:tcBorders>
            <w:shd w:val="clear" w:color="auto" w:fill="A6A6A6"/>
            <w:noWrap w:val="0"/>
            <w:vAlign w:val="center"/>
          </w:tcPr>
          <w:p>
            <w:pPr>
              <w:widowControl/>
              <w:jc w:val="left"/>
              <w:textAlignment w:val="center"/>
              <w:rPr>
                <w:rFonts w:hint="eastAsia" w:ascii="宋体" w:hAnsi="宋体" w:cs="宋体"/>
                <w:b/>
                <w:bCs/>
                <w:color w:val="000000" w:themeColor="text1"/>
                <w:sz w:val="20"/>
                <w:szCs w:val="20"/>
                <w:highlight w:val="none"/>
              </w:rPr>
            </w:pPr>
            <w:r>
              <w:rPr>
                <w:rFonts w:hint="eastAsia" w:ascii="宋体" w:hAnsi="宋体" w:cs="宋体"/>
                <w:b/>
                <w:bCs/>
                <w:color w:val="000000" w:themeColor="text1"/>
                <w:kern w:val="0"/>
                <w:sz w:val="20"/>
                <w:szCs w:val="20"/>
                <w:highlight w:val="none"/>
                <w:lang w:bidi="ar"/>
              </w:rPr>
              <w:t>技术参数</w:t>
            </w:r>
          </w:p>
        </w:tc>
        <w:tc>
          <w:tcPr>
            <w:tcW w:w="934" w:type="dxa"/>
            <w:tcBorders>
              <w:top w:val="single" w:color="000000" w:sz="4" w:space="0"/>
              <w:left w:val="single" w:color="000000" w:sz="4" w:space="0"/>
              <w:bottom w:val="single" w:color="000000" w:sz="4" w:space="0"/>
              <w:right w:val="single" w:color="000000" w:sz="4" w:space="0"/>
            </w:tcBorders>
            <w:shd w:val="clear" w:color="auto" w:fill="A6A6A6"/>
            <w:noWrap w:val="0"/>
            <w:vAlign w:val="center"/>
          </w:tcPr>
          <w:p>
            <w:pPr>
              <w:widowControl/>
              <w:jc w:val="left"/>
              <w:textAlignment w:val="center"/>
              <w:rPr>
                <w:rFonts w:hint="eastAsia" w:ascii="宋体" w:hAnsi="宋体" w:cs="宋体"/>
                <w:b/>
                <w:bCs/>
                <w:color w:val="000000" w:themeColor="text1"/>
                <w:sz w:val="20"/>
                <w:szCs w:val="20"/>
                <w:highlight w:val="none"/>
              </w:rPr>
            </w:pPr>
            <w:r>
              <w:rPr>
                <w:rFonts w:hint="eastAsia" w:ascii="宋体" w:hAnsi="宋体" w:cs="宋体"/>
                <w:b/>
                <w:bCs/>
                <w:color w:val="000000" w:themeColor="text1"/>
                <w:kern w:val="0"/>
                <w:sz w:val="20"/>
                <w:szCs w:val="20"/>
                <w:highlight w:val="none"/>
                <w:lang w:bidi="ar"/>
              </w:rPr>
              <w:t>数量</w:t>
            </w:r>
          </w:p>
        </w:tc>
        <w:tc>
          <w:tcPr>
            <w:tcW w:w="735" w:type="dxa"/>
            <w:tcBorders>
              <w:top w:val="single" w:color="000000" w:sz="4" w:space="0"/>
              <w:left w:val="single" w:color="000000" w:sz="4" w:space="0"/>
              <w:bottom w:val="single" w:color="000000" w:sz="4" w:space="0"/>
              <w:right w:val="single" w:color="000000" w:sz="4" w:space="0"/>
            </w:tcBorders>
            <w:shd w:val="clear" w:color="auto" w:fill="A6A6A6"/>
            <w:noWrap w:val="0"/>
            <w:vAlign w:val="center"/>
          </w:tcPr>
          <w:p>
            <w:pPr>
              <w:widowControl/>
              <w:jc w:val="left"/>
              <w:textAlignment w:val="center"/>
              <w:rPr>
                <w:rFonts w:hint="eastAsia" w:ascii="宋体" w:hAnsi="宋体" w:cs="宋体"/>
                <w:b/>
                <w:bCs/>
                <w:color w:val="000000" w:themeColor="text1"/>
                <w:sz w:val="20"/>
                <w:szCs w:val="20"/>
                <w:highlight w:val="none"/>
              </w:rPr>
            </w:pPr>
            <w:r>
              <w:rPr>
                <w:rFonts w:hint="eastAsia" w:ascii="宋体" w:hAnsi="宋体" w:cs="宋体"/>
                <w:b/>
                <w:bCs/>
                <w:color w:val="000000" w:themeColor="text1"/>
                <w:kern w:val="0"/>
                <w:sz w:val="20"/>
                <w:szCs w:val="20"/>
                <w:highlight w:val="none"/>
                <w:lang w:bidi="ar"/>
              </w:rPr>
              <w:t>单位</w:t>
            </w:r>
          </w:p>
        </w:tc>
      </w:tr>
      <w:tr>
        <w:tblPrEx>
          <w:tblCellMar>
            <w:top w:w="0" w:type="dxa"/>
            <w:left w:w="108" w:type="dxa"/>
            <w:bottom w:w="0" w:type="dxa"/>
            <w:right w:w="108" w:type="dxa"/>
          </w:tblCellMar>
        </w:tblPrEx>
        <w:trPr>
          <w:trHeight w:val="400" w:hRule="atLeast"/>
          <w:jc w:val="center"/>
        </w:trPr>
        <w:tc>
          <w:tcPr>
            <w:tcW w:w="9887" w:type="dxa"/>
            <w:gridSpan w:val="5"/>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b/>
                <w:bCs/>
                <w:color w:val="000000" w:themeColor="text1"/>
                <w:kern w:val="0"/>
                <w:sz w:val="20"/>
                <w:szCs w:val="20"/>
                <w:highlight w:val="none"/>
                <w:lang w:bidi="ar"/>
              </w:rPr>
            </w:pPr>
            <w:r>
              <w:rPr>
                <w:rFonts w:hint="eastAsia" w:ascii="宋体" w:hAnsi="宋体" w:cs="宋体"/>
                <w:b/>
                <w:bCs/>
                <w:color w:val="000000" w:themeColor="text1"/>
                <w:kern w:val="0"/>
                <w:sz w:val="20"/>
                <w:szCs w:val="20"/>
                <w:highlight w:val="none"/>
                <w:lang w:bidi="ar"/>
              </w:rPr>
              <w:t>一、设备部分</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400万智能筒型网络摄像机</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numPr>
                <w:ilvl w:val="0"/>
                <w:numId w:val="2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具有不小于1/1.8"靶面尺寸。</w:t>
            </w:r>
          </w:p>
          <w:p>
            <w:pPr>
              <w:pStyle w:val="192"/>
              <w:numPr>
                <w:ilvl w:val="0"/>
                <w:numId w:val="2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需内置GPU芯片。</w:t>
            </w:r>
          </w:p>
          <w:p>
            <w:pPr>
              <w:pStyle w:val="192"/>
              <w:numPr>
                <w:ilvl w:val="0"/>
                <w:numId w:val="2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需内置1个麦克风，支持双向语音对讲功能。</w:t>
            </w:r>
          </w:p>
          <w:p>
            <w:pPr>
              <w:pStyle w:val="192"/>
              <w:numPr>
                <w:ilvl w:val="0"/>
                <w:numId w:val="2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最大支持分辨率2560*1440、帧率在1fps~30fps可调。</w:t>
            </w:r>
          </w:p>
          <w:p>
            <w:pPr>
              <w:pStyle w:val="192"/>
              <w:numPr>
                <w:ilvl w:val="0"/>
                <w:numId w:val="23"/>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宽动态: 120 dB</w:t>
            </w:r>
          </w:p>
          <w:p>
            <w:pPr>
              <w:pStyle w:val="192"/>
              <w:numPr>
                <w:ilvl w:val="0"/>
                <w:numId w:val="23"/>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焦距&amp;视场角: 2.7~13.5mm，水平视场角：99.6°~39.8°，垂直视场角：52.3°~18.9°，对角视场角：122.6°~38.7°</w:t>
            </w:r>
          </w:p>
          <w:p>
            <w:pPr>
              <w:pStyle w:val="192"/>
              <w:numPr>
                <w:ilvl w:val="0"/>
                <w:numId w:val="23"/>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补光距离: 暖白光：最远可达30 m；红外光：最远可达50 m</w:t>
            </w:r>
          </w:p>
          <w:p>
            <w:pPr>
              <w:pStyle w:val="192"/>
              <w:numPr>
                <w:ilvl w:val="0"/>
                <w:numId w:val="23"/>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网络存储: 支持Micro SD(即TF卡)/Micro SDHC/Micro SDXC卡（最大256 GB）断网本地存储及断网续传，NAS（NFS，SMB/CIFS均支持）</w:t>
            </w:r>
          </w:p>
          <w:p>
            <w:pPr>
              <w:pStyle w:val="192"/>
              <w:numPr>
                <w:ilvl w:val="0"/>
                <w:numId w:val="23"/>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网络: 1个RJ45 10 M/100 M自适应以太网口</w:t>
            </w:r>
          </w:p>
          <w:p>
            <w:pPr>
              <w:pStyle w:val="192"/>
              <w:numPr>
                <w:ilvl w:val="0"/>
                <w:numId w:val="23"/>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音频: 1 路输入（Line in），1路输出（Line out），2个内置麦克风，1个内置扬声器</w:t>
            </w:r>
          </w:p>
          <w:p>
            <w:pPr>
              <w:pStyle w:val="192"/>
              <w:numPr>
                <w:ilvl w:val="0"/>
                <w:numId w:val="23"/>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报警: 1路输入，1路输出（报警输入支持开关量，报警输出最大支持DC12 V，30 mA）</w:t>
            </w:r>
          </w:p>
          <w:p>
            <w:pPr>
              <w:pStyle w:val="192"/>
              <w:numPr>
                <w:ilvl w:val="0"/>
                <w:numId w:val="2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需支持区域入侵侦测、越界侦测、进入区域侦测、离开区域侦测，每种智能周界事件可设置4个警戒区域；并独立布撤防，布撤防时间可单独设置（7*24h），联动方式单独设置。</w:t>
            </w:r>
          </w:p>
          <w:p>
            <w:pPr>
              <w:pStyle w:val="192"/>
              <w:numPr>
                <w:ilvl w:val="0"/>
                <w:numId w:val="2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▲需具备智能报警防干扰功能，当在设定的检测范围内出现光线明暗变化、篮球滚动、狗行走、树摇晃时，不触发报警。（须在公安部检测报告中体现，并加盖厂商公章）</w:t>
            </w:r>
          </w:p>
          <w:p>
            <w:pPr>
              <w:pStyle w:val="192"/>
              <w:numPr>
                <w:ilvl w:val="0"/>
                <w:numId w:val="2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正常工作条件下，工作4h后，可触及零部件的温度不应超过该部件的允许温升值。</w:t>
            </w:r>
          </w:p>
          <w:p>
            <w:pPr>
              <w:pStyle w:val="192"/>
              <w:numPr>
                <w:ilvl w:val="0"/>
                <w:numId w:val="2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具有低温低气压适应性，可在不高于-45℃和气压70kPa环境下正常工作。</w:t>
            </w:r>
          </w:p>
          <w:p>
            <w:pPr>
              <w:pStyle w:val="192"/>
              <w:numPr>
                <w:ilvl w:val="0"/>
                <w:numId w:val="2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最低照度彩色：0.0002 lx，黑白:0.0001 lx。</w:t>
            </w:r>
          </w:p>
          <w:p>
            <w:pPr>
              <w:pStyle w:val="192"/>
              <w:numPr>
                <w:ilvl w:val="0"/>
                <w:numId w:val="2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同一场景下相同图像质量下设备在H.264或H.265编码方式时，开启智能编码功能和不开启智能编码相比，码流节约80%。</w:t>
            </w:r>
          </w:p>
          <w:p>
            <w:pPr>
              <w:pStyle w:val="192"/>
              <w:numPr>
                <w:ilvl w:val="0"/>
                <w:numId w:val="2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支持固件安全检验功能，摄像机uboot应采用加密存储，通过离线烧写存储器方式写入的uboot执行程序，不能被硬件微引导程序加载执行。</w:t>
            </w:r>
          </w:p>
          <w:p>
            <w:pPr>
              <w:pStyle w:val="192"/>
              <w:numPr>
                <w:ilvl w:val="0"/>
                <w:numId w:val="2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▲需支持硬件微引导程序、uboot、OS、应用软件逐级校验功能，非法篡改的uboot、OS、应用软件固件包，不能通过命令行、浏览器、客户端方式进行升级。（须在公安部检测报告中体现，并加盖厂商公章）</w:t>
            </w:r>
          </w:p>
          <w:p>
            <w:pPr>
              <w:pStyle w:val="192"/>
              <w:numPr>
                <w:ilvl w:val="0"/>
                <w:numId w:val="2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在IE浏览器下，具有设备重启和布防动态报警数据感知与记录功能，布防动态报警数据包括异常掉线、历史布防、实时布防3种类型；可记录报警的开始时间、结束时间、布防类型、报警链路地址、端口、链路续传。</w:t>
            </w:r>
          </w:p>
          <w:p>
            <w:pPr>
              <w:pStyle w:val="192"/>
              <w:numPr>
                <w:ilvl w:val="0"/>
                <w:numId w:val="2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▲需支持通过IE浏览器设置登录超时时间，当登录后无操作时长达到设置阈值后，设备自动退出并重新进入登录界面。（须在公安部检测报告中体现，并加盖厂商公章）</w:t>
            </w:r>
          </w:p>
          <w:p>
            <w:pPr>
              <w:pStyle w:val="192"/>
              <w:numPr>
                <w:ilvl w:val="0"/>
                <w:numId w:val="2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设备具有耀光抑制功能，耀光区域≤1%。</w:t>
            </w:r>
          </w:p>
          <w:p>
            <w:pPr>
              <w:pStyle w:val="192"/>
              <w:numPr>
                <w:ilvl w:val="0"/>
                <w:numId w:val="23"/>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供电方式: DC：12 V ± 20%，支持防反接保护；PoE：802.3af，Type 2，Class 4</w:t>
            </w:r>
          </w:p>
          <w:p>
            <w:pPr>
              <w:pStyle w:val="192"/>
              <w:numPr>
                <w:ilvl w:val="0"/>
                <w:numId w:val="23"/>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防护: IP67"</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26</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400万声光警戒枪球一体机</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numPr>
                <w:ilvl w:val="0"/>
                <w:numId w:val="24"/>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内置加热玻璃，有效除雾</w:t>
            </w:r>
          </w:p>
          <w:p>
            <w:pPr>
              <w:pStyle w:val="192"/>
              <w:numPr>
                <w:ilvl w:val="0"/>
                <w:numId w:val="24"/>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支持声光警戒：报警联动白光闪烁报警和声音报警，声音内容可选</w:t>
            </w:r>
          </w:p>
          <w:p>
            <w:pPr>
              <w:pStyle w:val="192"/>
              <w:numPr>
                <w:ilvl w:val="0"/>
                <w:numId w:val="24"/>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传感器类型: 【全景】1/2.8＂Progressive Scan CMOS ；【细节】1/2.8＂Progressive Scan CMOS</w:t>
            </w:r>
          </w:p>
          <w:p>
            <w:pPr>
              <w:pStyle w:val="192"/>
              <w:numPr>
                <w:ilvl w:val="0"/>
                <w:numId w:val="24"/>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宽动态: 120 dB超宽动态</w:t>
            </w:r>
          </w:p>
          <w:p>
            <w:pPr>
              <w:pStyle w:val="192"/>
              <w:numPr>
                <w:ilvl w:val="0"/>
                <w:numId w:val="24"/>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焦距: 【全景】4 mm；【细节】5.9 mm~135.7 mm，23倍光学变倍</w:t>
            </w:r>
          </w:p>
          <w:p>
            <w:pPr>
              <w:pStyle w:val="192"/>
              <w:numPr>
                <w:ilvl w:val="0"/>
                <w:numId w:val="24"/>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水平范围: 360°</w:t>
            </w:r>
          </w:p>
          <w:p>
            <w:pPr>
              <w:pStyle w:val="192"/>
              <w:numPr>
                <w:ilvl w:val="0"/>
                <w:numId w:val="24"/>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垂直范围: -15°~90°（自动翻转）</w:t>
            </w:r>
          </w:p>
          <w:p>
            <w:pPr>
              <w:pStyle w:val="192"/>
              <w:numPr>
                <w:ilvl w:val="0"/>
                <w:numId w:val="24"/>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视频压缩标准: H.265，H.264，MJPEG</w:t>
            </w:r>
          </w:p>
          <w:p>
            <w:pPr>
              <w:pStyle w:val="192"/>
              <w:numPr>
                <w:ilvl w:val="0"/>
                <w:numId w:val="24"/>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网络接口: RJ45网口，自适应10 M/100 M网络数据</w:t>
            </w:r>
          </w:p>
          <w:p>
            <w:pPr>
              <w:pStyle w:val="192"/>
              <w:numPr>
                <w:ilvl w:val="0"/>
                <w:numId w:val="24"/>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SD卡扩展: 内置MicroSD卡插槽，支持MicroSD(即TF卡)/MicroSDHC/MicroSDXC卡（最大支持256 GB）</w:t>
            </w:r>
          </w:p>
          <w:p>
            <w:pPr>
              <w:pStyle w:val="192"/>
              <w:numPr>
                <w:ilvl w:val="0"/>
                <w:numId w:val="2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内置不少于3个镜头，可输出全景、细节两路视频图像，其中全景通道可输出两个镜头无缝拼接的全景图像，纵向拼接偏差像素不大于4个像素点，全景水平视场角不低于180°（须在公安部检测报告中体现，并加盖厂商公章）</w:t>
            </w:r>
          </w:p>
          <w:p>
            <w:pPr>
              <w:pStyle w:val="192"/>
              <w:numPr>
                <w:ilvl w:val="0"/>
                <w:numId w:val="2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视频输出支持全景≥3840×1080@25fps，细节≥2560×1440@25fps</w:t>
            </w:r>
          </w:p>
          <w:p>
            <w:pPr>
              <w:pStyle w:val="192"/>
              <w:numPr>
                <w:ilvl w:val="0"/>
                <w:numId w:val="2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 xml:space="preserve">需内置不少于2颗GPU芯片 </w:t>
            </w:r>
          </w:p>
          <w:p>
            <w:pPr>
              <w:pStyle w:val="192"/>
              <w:numPr>
                <w:ilvl w:val="0"/>
                <w:numId w:val="2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支持最低照度彩色不大于0.0002Lux，黑白不大于0.0001Lux</w:t>
            </w:r>
          </w:p>
          <w:p>
            <w:pPr>
              <w:pStyle w:val="192"/>
              <w:numPr>
                <w:ilvl w:val="0"/>
                <w:numId w:val="2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全景、细节白光补光距离不小于30m，细节红外补光距离不小于200m</w:t>
            </w:r>
          </w:p>
          <w:p>
            <w:pPr>
              <w:pStyle w:val="192"/>
              <w:numPr>
                <w:ilvl w:val="0"/>
                <w:numId w:val="2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▲全景通道支持两个画面的偏色、曝光同步，可以通过产线矫正和现场矫正两种方式进行（须在公安部检测报告中体现，并加盖厂商公章）</w:t>
            </w:r>
          </w:p>
          <w:p>
            <w:pPr>
              <w:pStyle w:val="192"/>
              <w:numPr>
                <w:ilvl w:val="0"/>
                <w:numId w:val="2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▲可用自动拼接工具进行全景拼接效果调整，并且可以调整拼接距离（须在公安部检测报告中体现，并加盖厂商公章）</w:t>
            </w:r>
          </w:p>
          <w:p>
            <w:pPr>
              <w:pStyle w:val="192"/>
              <w:numPr>
                <w:ilvl w:val="0"/>
                <w:numId w:val="2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当监控画面中有目标触发区域入侵侦测、越界侦测、进入区域侦测等报警事件时，设备可发出闪光灯报警、声音报警，当篮球、小狗、树叶等非人或车辆目标经过检测区域时，不会触发报警。</w:t>
            </w:r>
          </w:p>
          <w:p>
            <w:pPr>
              <w:pStyle w:val="192"/>
              <w:numPr>
                <w:ilvl w:val="0"/>
                <w:numId w:val="2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需支持定位联动功能，在全景视频图像中点击或者框选任意区域后，细节视频图像可将该区域处于视频图像中央，标定点数量不小于6个，且标定用时不大于1s</w:t>
            </w:r>
          </w:p>
          <w:p>
            <w:pPr>
              <w:pStyle w:val="192"/>
              <w:numPr>
                <w:ilvl w:val="0"/>
                <w:numId w:val="2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需支持快捷配置功能，可在预览画面开启/关闭“快捷配置”页面，对曝光参数、OSD、智能资源分配模式等参数进行配置，并可一键恢复为默认设置</w:t>
            </w:r>
          </w:p>
          <w:p>
            <w:pPr>
              <w:pStyle w:val="192"/>
              <w:numPr>
                <w:ilvl w:val="0"/>
                <w:numId w:val="2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需支持不少于300个预置位，可按照所设置的预置位完成不小于8条巡航路径，支持不小于4条模式路径设置，支持预置位视频冻结功能；可实现RS485接口优先或RJ45网络接口优先控制功能</w:t>
            </w:r>
          </w:p>
          <w:p>
            <w:pPr>
              <w:pStyle w:val="192"/>
              <w:numPr>
                <w:ilvl w:val="0"/>
                <w:numId w:val="2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需支持智能红外、透雾、强光抑制、电子防抖、数字降噪、防红外过曝功能</w:t>
            </w:r>
          </w:p>
          <w:p>
            <w:pPr>
              <w:pStyle w:val="192"/>
              <w:numPr>
                <w:ilvl w:val="0"/>
                <w:numId w:val="2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需具备较好的防护性能环境适应性，工作温度范围可达-40℃-70℃，支持IP67,支持6kV防浪涌</w:t>
            </w:r>
          </w:p>
          <w:p>
            <w:pPr>
              <w:pStyle w:val="192"/>
              <w:numPr>
                <w:ilvl w:val="0"/>
                <w:numId w:val="2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需具备较好的电源适应性，电压在DC36V±30%范围内变化时，设备可正常工作</w:t>
            </w:r>
          </w:p>
          <w:p>
            <w:pPr>
              <w:pStyle w:val="192"/>
              <w:numPr>
                <w:ilvl w:val="0"/>
                <w:numId w:val="24"/>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报警输入: 2路报警输入</w:t>
            </w:r>
          </w:p>
          <w:p>
            <w:pPr>
              <w:pStyle w:val="192"/>
              <w:numPr>
                <w:ilvl w:val="0"/>
                <w:numId w:val="24"/>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报警输出: 1路报警输出</w:t>
            </w:r>
          </w:p>
          <w:p>
            <w:pPr>
              <w:pStyle w:val="192"/>
              <w:numPr>
                <w:ilvl w:val="0"/>
                <w:numId w:val="24"/>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音频输入: 1路音频输入</w:t>
            </w:r>
          </w:p>
          <w:p>
            <w:pPr>
              <w:pStyle w:val="192"/>
              <w:numPr>
                <w:ilvl w:val="0"/>
                <w:numId w:val="24"/>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音频输出: 1路音频输出</w:t>
            </w:r>
          </w:p>
          <w:p>
            <w:pPr>
              <w:pStyle w:val="192"/>
              <w:numPr>
                <w:ilvl w:val="0"/>
                <w:numId w:val="24"/>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供电方式: DC：36 V ± 25%</w:t>
            </w:r>
          </w:p>
          <w:p>
            <w:pPr>
              <w:pStyle w:val="192"/>
              <w:numPr>
                <w:ilvl w:val="0"/>
                <w:numId w:val="24"/>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 xml:space="preserve">工作温湿度: -30 ℃~65 ℃；湿度小于90% </w:t>
            </w:r>
          </w:p>
          <w:p>
            <w:pPr>
              <w:pStyle w:val="192"/>
              <w:numPr>
                <w:ilvl w:val="0"/>
                <w:numId w:val="24"/>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防护: IP66</w:t>
            </w:r>
          </w:p>
          <w:p>
            <w:pPr>
              <w:jc w:val="left"/>
              <w:rPr>
                <w:rFonts w:hint="eastAsia" w:ascii="宋体" w:hAnsi="宋体" w:cs="宋体"/>
                <w:color w:val="000000" w:themeColor="text1"/>
                <w:sz w:val="20"/>
                <w:szCs w:val="20"/>
                <w:highlight w:val="none"/>
              </w:rPr>
            </w:pP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5</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3</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400万AI全抓拍筒型网络摄像机</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分辨率设置为2560×1440@25fps，分辨力不小于1400TVL。</w:t>
            </w:r>
          </w:p>
          <w:p>
            <w:pPr>
              <w:pStyle w:val="192"/>
              <w:numPr>
                <w:ilvl w:val="0"/>
                <w:numId w:val="25"/>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支持智能资源模式切换：全结构化（默认）、人脸抓拍、人脸比对、道路监控、Smart事件</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具有不小于1/1.8"靶面尺寸。</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焦距&amp;视场角: 8~32 mm：水平视场角：42.5°~14°，垂直视场角：23.4°~8°，对角线视场角：49.7°~17°</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补光灯类型: 混合补光（支持白光模式和混光模式），750 nm + 暖白光</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 xml:space="preserve">补光距离: 混合补光：8~32 mm：普通监控：80 m，人脸抓拍/识别：14 m </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网络存储: 支持Micro SD(即TF卡)/Micro SDHC/Micro SDXC卡（最大256 GB）断网本地存储及断网续传，NAS（NFS，SMB/CIFS均支持）</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视频输出: 1 Vp-p Composite Output(75Ω/CVBS)</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网络: 1个RJ45 10 M/100 M/1000 M自适应以太网口</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音频: 2 路输入（Line in），1路输出（Line out）</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报警: 3路输入，2路输出（报警输入支持开关量，报警输出最大支持DC12 V，30 mA）</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RS-485: 采用半双工模式，支持自适应PELCO-P和PELCO-D协议</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电源输出: DC12 V，100 mA</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内置GPU芯片。</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最低照度彩色不大于0.0002 lx，黑白不大于0.0001 lx。</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宽动态能力不小于120dB。</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支持H.264、H.265、MJPEG视频编码格式，且具有High Profile编码能力。</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在分辨率1920x1080 @ 25fps，延时不大于70ms。</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需支持三码流技术，主码流分辨率不小于2560x1440@25fps，子码流不小于704x576@25fps，第三码流不小于1920x1080@25fps。</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支持检出两眼瞳距40像素点以上的人脸图片。</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需支持车辆捕获和车牌识别。</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需支持IP67防尘防水。</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需同时支持DC12V和POE供电，且在不小于DC12V±30%范围内变化时可以正常工作。</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需支持本地SD卡存储，最大支持256G，并支持存储卡可使用时长显示。</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设备恢复出厂设置后，通过客户端软件或WEB方式登录设备必须设置密码才能使用，无其他缺省密码或空密码。</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▲支持数据感知功能，可同时支持10路客户端和5路web端事件布防，设备在布防时间段内主动上传感知数据，断网重连后，报警信息与报警图片可继续上传。（须在公安部检测报告中体现，并加盖厂商公章）</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▲支持固件安全检验功能，摄像机uboot应采用加密存储，通过离线烧写存储器方式写入的uboot执行程序，不能被硬件微引导程序加载执行。（须在公安部检测报告中体现，并加盖厂商公章）</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在IE浏览器下，具有设备重启和布防动态报警数据感知与记录功能，布防动态报警数据包括异常掉线、历史布防、实时布防3种类型；可记录报警的开始时间、结束时间、布防类型、报警链路地址、端口、链路续传。（须在公安部检测报告中体现，并加盖厂商公章）</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支持通过IE浏览器设置登录超时时间，当登录后无操作时长达到设置阈值后，设备自动退出并重新进入登录界面。</w:t>
            </w:r>
          </w:p>
          <w:p>
            <w:pPr>
              <w:pStyle w:val="192"/>
              <w:numPr>
                <w:ilvl w:val="0"/>
                <w:numId w:val="2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 xml:space="preserve">▲设备具有耀光抑制功能，耀光区域≤1%。（须在公安部检测报告中体现，并加盖厂商公章） </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66</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摄像机支架</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ind w:firstLine="0"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1.支架 壁式摄像机支架</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48</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个</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5</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400万AI多向摄像机</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numPr>
                <w:ilvl w:val="0"/>
                <w:numId w:val="2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内置2个CMOS图像传感器，靶面尺寸均不小于1/1.8"。</w:t>
            </w:r>
          </w:p>
          <w:p>
            <w:pPr>
              <w:pStyle w:val="192"/>
              <w:numPr>
                <w:ilvl w:val="0"/>
                <w:numId w:val="2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内置不少于2颗GPU芯片，2个麦克风，1个扬声器。</w:t>
            </w:r>
          </w:p>
          <w:p>
            <w:pPr>
              <w:pStyle w:val="192"/>
              <w:numPr>
                <w:ilvl w:val="0"/>
                <w:numId w:val="2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最低照度彩色不大于0.0002 lx，黑白不大于0.0001 lx。</w:t>
            </w:r>
          </w:p>
          <w:p>
            <w:pPr>
              <w:pStyle w:val="192"/>
              <w:numPr>
                <w:ilvl w:val="0"/>
                <w:numId w:val="2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设备双通道均具有2颗远光混合补光灯和2颗近光补光灯，开启补光灯后，可采集2路彩色视频图像。</w:t>
            </w:r>
          </w:p>
          <w:p>
            <w:pPr>
              <w:pStyle w:val="192"/>
              <w:numPr>
                <w:ilvl w:val="0"/>
                <w:numId w:val="2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可输出2个通道画面，通道1和通道2的码流分辨率均不小于2560*1440。</w:t>
            </w:r>
          </w:p>
          <w:p>
            <w:pPr>
              <w:pStyle w:val="192"/>
              <w:numPr>
                <w:ilvl w:val="0"/>
                <w:numId w:val="2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内置2个电动变焦镜头，焦距不小于8～32mm，支持一键聚焦功能。</w:t>
            </w:r>
          </w:p>
          <w:p>
            <w:pPr>
              <w:pStyle w:val="192"/>
              <w:numPr>
                <w:ilvl w:val="0"/>
                <w:numId w:val="2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▲双通道均支持PT一体化云台，通道1和通道2的云台应可独立控制，可通过IE浏览器或客户端远程调节PT位置以实现监控场景的切换。（须在公安部检测报告中体现，并加盖厂商公章）</w:t>
            </w:r>
          </w:p>
          <w:p>
            <w:pPr>
              <w:pStyle w:val="192"/>
              <w:numPr>
                <w:ilvl w:val="0"/>
                <w:numId w:val="2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▲双镜头PT云台旋转角度均支持水平调节角度：0°～180°，垂直调节角度：-5°～30°。（须在公安部检测报告中体现，并加盖厂商公章）</w:t>
            </w:r>
          </w:p>
          <w:p>
            <w:pPr>
              <w:pStyle w:val="192"/>
              <w:numPr>
                <w:ilvl w:val="0"/>
                <w:numId w:val="2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支持同时对检测区域内的多个不同运动方向的行人进行检测、跟踪、筛选、抓拍和存储抓拍图片。</w:t>
            </w:r>
          </w:p>
          <w:p>
            <w:pPr>
              <w:pStyle w:val="192"/>
              <w:numPr>
                <w:ilvl w:val="0"/>
                <w:numId w:val="2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支持越界侦测，区域入侵侦测，进入/离开区域侦测，徘徊侦测，人员聚集侦测，快速运动侦测，停车侦测，物品遗留/拿取侦测</w:t>
            </w:r>
          </w:p>
          <w:p>
            <w:pPr>
              <w:pStyle w:val="192"/>
              <w:numPr>
                <w:ilvl w:val="0"/>
                <w:numId w:val="2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▲可持续对目标进行跟踪，并在轨迹中显示抓拍图片；可在客户端或IE 浏览器上将人脸和人体图片关联显示；并支持实时分析并显示行人属性信息，可将属性信息叠加在抓拍的图片上。（须在公安部检测报告中体现，并加盖厂商公章）</w:t>
            </w:r>
          </w:p>
          <w:p>
            <w:pPr>
              <w:pStyle w:val="192"/>
              <w:numPr>
                <w:ilvl w:val="0"/>
                <w:numId w:val="2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▲设备内置能耗检测模块，可实时检测设备的输入电压和功耗信息，可生成日报表、周报表，并以图表形式展现。（须在公安部检测报告中体现，并加盖厂商公章）</w:t>
            </w:r>
          </w:p>
          <w:p>
            <w:pPr>
              <w:pStyle w:val="192"/>
              <w:numPr>
                <w:ilvl w:val="0"/>
                <w:numId w:val="2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支持2路音频输入，1路音频输出</w:t>
            </w:r>
          </w:p>
          <w:p>
            <w:pPr>
              <w:pStyle w:val="192"/>
              <w:numPr>
                <w:ilvl w:val="0"/>
                <w:numId w:val="2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支持3路报警输入，2路报警输出</w:t>
            </w:r>
          </w:p>
          <w:p>
            <w:pPr>
              <w:pStyle w:val="192"/>
              <w:numPr>
                <w:ilvl w:val="0"/>
                <w:numId w:val="2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支持1路电源输出</w:t>
            </w:r>
          </w:p>
          <w:p>
            <w:pPr>
              <w:pStyle w:val="192"/>
              <w:numPr>
                <w:ilvl w:val="0"/>
                <w:numId w:val="2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设备防护等级不低于IP67。</w:t>
            </w:r>
          </w:p>
          <w:p>
            <w:pPr>
              <w:pStyle w:val="192"/>
              <w:numPr>
                <w:ilvl w:val="0"/>
                <w:numId w:val="26"/>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网络：1个RJ45 10 M/100 M/1000 M自适应以太网口</w:t>
            </w:r>
          </w:p>
          <w:p>
            <w:pPr>
              <w:pStyle w:val="192"/>
              <w:numPr>
                <w:ilvl w:val="0"/>
                <w:numId w:val="26"/>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SD卡扩展：内置Micro SD/Micro SDHC/Micro SDXC 插槽，最大支持256 GB</w:t>
            </w:r>
          </w:p>
          <w:p>
            <w:pPr>
              <w:pStyle w:val="192"/>
              <w:numPr>
                <w:ilvl w:val="0"/>
                <w:numId w:val="26"/>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音频：标配2个内置麦克风（microphone），1个内置扬声器（speaker）</w:t>
            </w:r>
          </w:p>
          <w:p>
            <w:pPr>
              <w:pStyle w:val="192"/>
              <w:numPr>
                <w:ilvl w:val="0"/>
                <w:numId w:val="26"/>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启动和工作温湿度：-30 °C~60 °C，湿度小于95%（无凝结）</w:t>
            </w:r>
          </w:p>
          <w:p>
            <w:pPr>
              <w:pStyle w:val="192"/>
              <w:numPr>
                <w:ilvl w:val="0"/>
                <w:numId w:val="26"/>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电流及功耗：48W MAX</w:t>
            </w:r>
          </w:p>
          <w:p>
            <w:pPr>
              <w:pStyle w:val="192"/>
              <w:numPr>
                <w:ilvl w:val="0"/>
                <w:numId w:val="26"/>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供电方式：DC：36 V ± 20%，支持防反接保护功能；</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22</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6</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专用支架</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ind w:firstLine="0"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壁装支架/铂晶灰/铝合金/88×116.6×297.3mm</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22</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个</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7</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400万臻全彩枪球一体机</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numPr>
                <w:ilvl w:val="0"/>
                <w:numId w:val="2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▲摄像机内置不少于3个镜头，可输出至少一路全景视频和一路细节视频，其中全景路内置不少于2个镜头，细节路内置1个镜头。（须在公安部检测报告中体现，并加盖厂商公章）</w:t>
            </w:r>
          </w:p>
          <w:p>
            <w:pPr>
              <w:pStyle w:val="192"/>
              <w:numPr>
                <w:ilvl w:val="0"/>
                <w:numId w:val="2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全景通道内置2个镜头，光圈不小于F1.0，具有不小于1/1.8靶面尺寸，内置4颗补光灯。</w:t>
            </w:r>
          </w:p>
          <w:p>
            <w:pPr>
              <w:pStyle w:val="192"/>
              <w:numPr>
                <w:ilvl w:val="0"/>
                <w:numId w:val="2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细节通道内置镜头，具备不小于1/1.8靶面尺寸，内置10颗红外补光灯及1颗白光灯。</w:t>
            </w:r>
          </w:p>
          <w:p>
            <w:pPr>
              <w:pStyle w:val="192"/>
              <w:numPr>
                <w:ilvl w:val="0"/>
                <w:numId w:val="2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细节通道内置镜头，支持不小于25倍光学变倍，镜头最大焦距不小于147mm</w:t>
            </w:r>
          </w:p>
          <w:p>
            <w:pPr>
              <w:pStyle w:val="192"/>
              <w:numPr>
                <w:ilvl w:val="0"/>
                <w:numId w:val="2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全景通道可输出两个镜头无缝拼接的全景图像，拼接偏差像素不大于4个像素，全景画面水平视场角不小于192°。</w:t>
            </w:r>
          </w:p>
          <w:p>
            <w:pPr>
              <w:pStyle w:val="192"/>
              <w:numPr>
                <w:ilvl w:val="0"/>
                <w:numId w:val="2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▲全景通道可进行垂直旋转，旋转范围不低于10°可调。（须在公安部检测报告中体现，并加盖厂商公章）</w:t>
            </w:r>
          </w:p>
          <w:p>
            <w:pPr>
              <w:pStyle w:val="192"/>
              <w:numPr>
                <w:ilvl w:val="0"/>
                <w:numId w:val="2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摄像机可在预览画面及抓拍图片中叠加人员和车辆的移动轨迹，轨迹颜色支持红色、黄色、蓝色、绿色、及紫色，轨迹末尾具有一个方向箭头，指向目标离开的方向，抓拍图片大小不大于500KB。</w:t>
            </w:r>
          </w:p>
          <w:p>
            <w:pPr>
              <w:pStyle w:val="192"/>
              <w:numPr>
                <w:ilvl w:val="0"/>
                <w:numId w:val="2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具备声音报警功能，可设置11种警戒音、提示音、自定义语音，报警次数1～50次可设；可通过区域入侵侦测、越界侦测、进入区域侦测、离开区域侦测等报警事件，联动声音报警。</w:t>
            </w:r>
          </w:p>
          <w:p>
            <w:pPr>
              <w:pStyle w:val="192"/>
              <w:numPr>
                <w:ilvl w:val="0"/>
                <w:numId w:val="2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具备闪光灯报警功能，可设置闪光灯闪烁时间（1-300），闪烁频率（高、中、低、常亮），亮度（1-100），当监控画面中有目标触发区域入侵侦测、越界侦测、进入区域侦测、离开区域侦测等报警事件时，可联动白光灯闪烁进行报警。</w:t>
            </w:r>
          </w:p>
          <w:p>
            <w:pPr>
              <w:pStyle w:val="192"/>
              <w:numPr>
                <w:ilvl w:val="0"/>
                <w:numId w:val="2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当篮球、小狗、树叶等非人或车辆目标经过检测区域时不会触发报警。</w:t>
            </w:r>
          </w:p>
          <w:p>
            <w:pPr>
              <w:pStyle w:val="192"/>
              <w:numPr>
                <w:ilvl w:val="0"/>
                <w:numId w:val="2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内置不少于2个GPU芯片</w:t>
            </w:r>
          </w:p>
          <w:p>
            <w:pPr>
              <w:pStyle w:val="192"/>
              <w:numPr>
                <w:ilvl w:val="0"/>
                <w:numId w:val="2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全景路视频分辨率不小于3840 × 1080，细节路视频分辨率不小于2560x1440</w:t>
            </w:r>
          </w:p>
          <w:p>
            <w:pPr>
              <w:pStyle w:val="192"/>
              <w:numPr>
                <w:ilvl w:val="0"/>
                <w:numId w:val="2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支持最低照度可达彩色0.0002 lx，黑白0.0001 lx</w:t>
            </w:r>
          </w:p>
          <w:p>
            <w:pPr>
              <w:pStyle w:val="192"/>
              <w:numPr>
                <w:ilvl w:val="0"/>
                <w:numId w:val="2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▲摄像机具备AR标签管理功能，可对监控区域的常规点位、卡口点位、人脸点位、重点道路等进行标签标注，最多可添加500个标签。（须在公安部检测报告中体现，并加盖厂商公章）</w:t>
            </w:r>
          </w:p>
          <w:p>
            <w:pPr>
              <w:pStyle w:val="192"/>
              <w:numPr>
                <w:ilvl w:val="0"/>
                <w:numId w:val="2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摄像机具备AR标签联动查看功能，选中标签并将标签置于屏幕中心位置进行显示，可通过点击视频画面中的标签查看标签内容并对标签关联的摄像机视频进行预览，并可通过点击摄像机预览窗口进行放大窗口操作。</w:t>
            </w:r>
          </w:p>
          <w:p>
            <w:pPr>
              <w:pStyle w:val="192"/>
              <w:numPr>
                <w:ilvl w:val="0"/>
                <w:numId w:val="2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支持同时检测监控场景内出现的不少于30张人脸，并可进行抓拍。</w:t>
            </w:r>
          </w:p>
          <w:p>
            <w:pPr>
              <w:pStyle w:val="192"/>
              <w:numPr>
                <w:ilvl w:val="0"/>
                <w:numId w:val="2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支持7路报警输入接口，2路报警输出接口，支持1路音频输入和输出接口。</w:t>
            </w:r>
          </w:p>
          <w:p>
            <w:pPr>
              <w:pStyle w:val="192"/>
              <w:numPr>
                <w:ilvl w:val="0"/>
                <w:numId w:val="2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支持数据感知功能，可同时支持3路web监听通道，设备响应web端发送的查询请求，并返回对应的感知数据；断网重连后，报警信息可继续上传。</w:t>
            </w:r>
          </w:p>
          <w:p>
            <w:pPr>
              <w:pStyle w:val="192"/>
              <w:numPr>
                <w:ilvl w:val="0"/>
                <w:numId w:val="2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支持硬件微引导程序、uboot、OS、应用软件逐级校验功能。非法篡改的uboot、OS、应用软件固件包，不能通过命令行、浏览器、客户端方式进行升级。</w:t>
            </w:r>
          </w:p>
          <w:p>
            <w:pPr>
              <w:pStyle w:val="192"/>
              <w:numPr>
                <w:ilvl w:val="0"/>
                <w:numId w:val="27"/>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支持H.265高效压缩算法，可较大节省存储空间</w:t>
            </w:r>
          </w:p>
          <w:p>
            <w:pPr>
              <w:pStyle w:val="192"/>
              <w:numPr>
                <w:ilvl w:val="0"/>
                <w:numId w:val="27"/>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采用高效红外阵列，低功耗，照射距离最远可达200 m</w:t>
            </w:r>
          </w:p>
          <w:p>
            <w:pPr>
              <w:pStyle w:val="192"/>
              <w:numPr>
                <w:ilvl w:val="0"/>
                <w:numId w:val="27"/>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支持宽动态范围达120 dB，适合逆光环境监控</w:t>
            </w:r>
          </w:p>
          <w:p>
            <w:pPr>
              <w:pStyle w:val="192"/>
              <w:numPr>
                <w:ilvl w:val="0"/>
                <w:numId w:val="27"/>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支持3D数字降噪、强光抑制、电子防抖、SmartIR</w:t>
            </w:r>
          </w:p>
          <w:p>
            <w:pPr>
              <w:pStyle w:val="192"/>
              <w:numPr>
                <w:ilvl w:val="0"/>
                <w:numId w:val="27"/>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细节支持360°水平旋转，垂直方向-20°~90°（自动翻转）。全景支持垂直方向7°~17°可调</w:t>
            </w:r>
          </w:p>
          <w:p>
            <w:pPr>
              <w:pStyle w:val="192"/>
              <w:numPr>
                <w:ilvl w:val="0"/>
                <w:numId w:val="27"/>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支持1路音频输入和1路音频输出</w:t>
            </w:r>
          </w:p>
          <w:p>
            <w:pPr>
              <w:pStyle w:val="192"/>
              <w:numPr>
                <w:ilvl w:val="0"/>
                <w:numId w:val="27"/>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内置7路报警输入和2路报警输出，支持报警联动功能</w:t>
            </w:r>
          </w:p>
          <w:p>
            <w:pPr>
              <w:pStyle w:val="192"/>
              <w:numPr>
                <w:ilvl w:val="0"/>
                <w:numId w:val="27"/>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支持最大256 GB的MicroSD/MicroSDHC/MicroSDXC卡存储</w:t>
            </w:r>
          </w:p>
          <w:p>
            <w:pPr>
              <w:pStyle w:val="192"/>
              <w:numPr>
                <w:ilvl w:val="0"/>
                <w:numId w:val="27"/>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IP67</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12</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8</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1600万 180°AR球型摄像机</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numPr>
                <w:ilvl w:val="0"/>
                <w:numId w:val="28"/>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传感器类型: 【全景】1/1.8＂progressive scan CMOS，【细节】1/1.8＂progressive scan CMOS</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水平视场角不小于180°，垂直视场角不小于100°</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内置不少于3个GPU芯片</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主视频图像：2560×1440@25fps，辅视频图像：5520×2400@30fps。</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主视频支持不小于40倍光学变倍，支持检测当前镜头指向方向与地平面夹角，并可根据夹角变化自动调整倍率。</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支持镜头前盖玻璃加热功能。</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摄像机全景镜头光圈均不小于F1.0</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▲摄像机内置除湿器，可对内部进行除湿，除去玻璃罩上的水状附着物。（须在公安部检测报告中体现，并加盖厂商公章）</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彩色：0.0003lux；黑白：0.0001lux</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动态范围不小于120dB。</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支持三码流输出，主码流球机摄像机通道支持输出2560×1440@25fps图像、全景通道支持输出5520×2400@25fps图像；第三码流球机摄像机通道支持输出1920×1080@25fps图像、全景通道支持输出4096×1800@25fps图像。</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产品支持人员密度功能，支持通过IE浏览器对辅助视频的全景画面设备不少于6个检测框，检测区域人数可通过OSD叠加的形式显示，并且可设置3个等级的人数，当检测框中的人数在3个等级之间变化时可触发报警。支持热度图叠加显示</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电源具有较强适应性，电源电压在DC36V±47%范围内变化时，摄像机可以正常工作</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红外灯开启时，设备可根据被摄物的距离自动调节红外灯功率密度。红外夜视距离：可识别距离设备550m外人体轮廓</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当通过IE浏览器手动点击或框选预览画面中的人脸时，设备能通过PTZ转动将人脸置于画面中心，并对人脸进行抓拍。</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 xml:space="preserve">支持远距离跟踪功能，可对距离设备至少700米处的不大于1.7米x0.5米的移动目标进行检测并联动细节通道进行跟踪。 </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目标过滤功能，在区域入侵、越界入侵、进入区域、离开区域、徘徊、快速移动、停车、物品遗留及物品移除的智能行为分析事件中，可以分别设置4个检测区域，每个检测区域可设置目标尺寸范围，产品应仅对预设尺寸阈值范围内的目标的智能行为进行检测。（须在公安部检测报告中体现，并加盖厂商公章）</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▲支持撞击报警功能，当设备外壳受到外力撞击时，可给出语音报警提示。（须在公安部检测报告中体现，并加盖厂商公章）</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支持参数配置调用功能，全景通道、细节通道可分别配置10套前端设备参数，并且可通过调用预置点对前端设备进行切换。</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多通道参数同步功能，在IE浏览器下，具有全景曝光同步设置选项，开启后可对全景两个通道的全部图像参数进行同步，包括亮度、对比度、饱和度、锐度、曝光、日夜转换、白平衡、宽动态、降噪、视频制式等。</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持车辆拥堵检测功能；全景通道可对监控画面中多边形区域内的车辆拥堵情况进行检测，当车辆所占面积超过设定的阈值时，会产生拥堵报警提示，当拥堵报警持续时间超过设定阈值时，可抓拍图片；报警持续时间阈值可设定。</w:t>
            </w:r>
          </w:p>
          <w:p>
            <w:pPr>
              <w:pStyle w:val="192"/>
              <w:numPr>
                <w:ilvl w:val="0"/>
                <w:numId w:val="2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▲支持偏色矫正功能，可通过手动或自动的方式对设备视频采集模块进行偏色矫正。（须在公安部检测报告中体现，并加盖厂商公章）</w:t>
            </w:r>
          </w:p>
          <w:p>
            <w:pPr>
              <w:pStyle w:val="192"/>
              <w:numPr>
                <w:ilvl w:val="0"/>
                <w:numId w:val="28"/>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网络接口: RJ45网口，自适应10 M/100 M/1000 M网络数据</w:t>
            </w:r>
          </w:p>
          <w:p>
            <w:pPr>
              <w:pStyle w:val="192"/>
              <w:numPr>
                <w:ilvl w:val="0"/>
                <w:numId w:val="28"/>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光纤接口: FC接口，内置光纤模块，1000 M网络数据，波长TX1310/RX1550 nm，单模单纤，20 km传输距离</w:t>
            </w:r>
          </w:p>
          <w:p>
            <w:pPr>
              <w:pStyle w:val="192"/>
              <w:numPr>
                <w:ilvl w:val="0"/>
                <w:numId w:val="28"/>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SD卡扩展: 支持MicroSD(即TF卡)/MicroSDHC/MicroSDXC卡，最大支持256 GB</w:t>
            </w:r>
          </w:p>
          <w:p>
            <w:pPr>
              <w:pStyle w:val="192"/>
              <w:numPr>
                <w:ilvl w:val="0"/>
                <w:numId w:val="28"/>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报警输入: 7路报警输入</w:t>
            </w:r>
          </w:p>
          <w:p>
            <w:pPr>
              <w:pStyle w:val="192"/>
              <w:numPr>
                <w:ilvl w:val="0"/>
                <w:numId w:val="28"/>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报警输出: 2路报警输出</w:t>
            </w:r>
          </w:p>
          <w:p>
            <w:pPr>
              <w:pStyle w:val="192"/>
              <w:numPr>
                <w:ilvl w:val="0"/>
                <w:numId w:val="28"/>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音频输入: 1路音频输入</w:t>
            </w:r>
          </w:p>
          <w:p>
            <w:pPr>
              <w:pStyle w:val="192"/>
              <w:numPr>
                <w:ilvl w:val="0"/>
                <w:numId w:val="28"/>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音频输出: 1路音频输出</w:t>
            </w:r>
          </w:p>
          <w:p>
            <w:pPr>
              <w:pStyle w:val="192"/>
              <w:numPr>
                <w:ilvl w:val="0"/>
                <w:numId w:val="28"/>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具有RS485接口</w:t>
            </w:r>
          </w:p>
          <w:p>
            <w:pPr>
              <w:pStyle w:val="192"/>
              <w:numPr>
                <w:ilvl w:val="0"/>
                <w:numId w:val="28"/>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防护: IP67"</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13</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9</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球型支架</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ind w:firstLine="0"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1.支架 壁式摄像机支架</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13</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个</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10</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45W室外智能慧音柱</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numPr>
                <w:ilvl w:val="0"/>
                <w:numId w:val="2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网络接口：RJ45、10M/100M</w:t>
            </w:r>
          </w:p>
          <w:p>
            <w:pPr>
              <w:pStyle w:val="192"/>
              <w:numPr>
                <w:ilvl w:val="0"/>
                <w:numId w:val="2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网络协议：TCP/IP、UDP</w:t>
            </w:r>
          </w:p>
          <w:p>
            <w:pPr>
              <w:pStyle w:val="192"/>
              <w:numPr>
                <w:ilvl w:val="0"/>
                <w:numId w:val="2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频率响应：20Hz-20KHz</w:t>
            </w:r>
          </w:p>
          <w:p>
            <w:pPr>
              <w:pStyle w:val="192"/>
              <w:numPr>
                <w:ilvl w:val="0"/>
                <w:numId w:val="2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灵敏度：92dB</w:t>
            </w:r>
          </w:p>
          <w:p>
            <w:pPr>
              <w:pStyle w:val="192"/>
              <w:numPr>
                <w:ilvl w:val="0"/>
                <w:numId w:val="2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信噪比：≥90 dB</w:t>
            </w:r>
          </w:p>
          <w:p>
            <w:pPr>
              <w:pStyle w:val="192"/>
              <w:numPr>
                <w:ilvl w:val="0"/>
                <w:numId w:val="2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供电：12V/5 A</w:t>
            </w:r>
          </w:p>
          <w:p>
            <w:pPr>
              <w:pStyle w:val="192"/>
              <w:numPr>
                <w:ilvl w:val="0"/>
                <w:numId w:val="2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接口：网口*1、开关量触发接口*1、线路输入*1</w:t>
            </w:r>
          </w:p>
          <w:p>
            <w:pPr>
              <w:pStyle w:val="192"/>
              <w:numPr>
                <w:ilvl w:val="0"/>
                <w:numId w:val="2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待机功率：0.6W</w:t>
            </w:r>
          </w:p>
          <w:p>
            <w:pPr>
              <w:pStyle w:val="192"/>
              <w:numPr>
                <w:ilvl w:val="0"/>
                <w:numId w:val="2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功率：45W</w:t>
            </w:r>
          </w:p>
          <w:p>
            <w:pPr>
              <w:pStyle w:val="192"/>
              <w:numPr>
                <w:ilvl w:val="0"/>
                <w:numId w:val="2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内置扬声器：4寸低音x 2只，3寸高音x 1只</w:t>
            </w:r>
          </w:p>
          <w:p>
            <w:pPr>
              <w:pStyle w:val="192"/>
              <w:numPr>
                <w:ilvl w:val="0"/>
                <w:numId w:val="2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尺寸：180 x 120 x 460</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25</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11</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接入交换机</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numPr>
                <w:ilvl w:val="0"/>
                <w:numId w:val="30"/>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轻网管提供8个千兆PoE电口、2个千兆光口</w:t>
            </w:r>
          </w:p>
          <w:p>
            <w:pPr>
              <w:pStyle w:val="192"/>
              <w:numPr>
                <w:ilvl w:val="0"/>
                <w:numId w:val="30"/>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支持IEEE 802.3at/af标准</w:t>
            </w:r>
          </w:p>
          <w:p>
            <w:pPr>
              <w:pStyle w:val="192"/>
              <w:numPr>
                <w:ilvl w:val="0"/>
                <w:numId w:val="30"/>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支持IEEE 802.3、IEEE 802.3u、IEEE 802.3x、IEEE 802.3ab、IEEE 802.3z标准</w:t>
            </w:r>
          </w:p>
          <w:p>
            <w:pPr>
              <w:pStyle w:val="192"/>
              <w:numPr>
                <w:ilvl w:val="0"/>
                <w:numId w:val="30"/>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支持安防网络拓扑管理、链路聚合、端口管理</w:t>
            </w:r>
          </w:p>
          <w:p>
            <w:pPr>
              <w:pStyle w:val="192"/>
              <w:numPr>
                <w:ilvl w:val="0"/>
                <w:numId w:val="30"/>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支持远程升级</w:t>
            </w:r>
          </w:p>
          <w:p>
            <w:pPr>
              <w:pStyle w:val="192"/>
              <w:numPr>
                <w:ilvl w:val="0"/>
                <w:numId w:val="30"/>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支持6 KV防浪涌（PoE口）</w:t>
            </w:r>
          </w:p>
          <w:p>
            <w:pPr>
              <w:pStyle w:val="192"/>
              <w:numPr>
                <w:ilvl w:val="0"/>
                <w:numId w:val="30"/>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支持PoE输出功率管理</w:t>
            </w:r>
          </w:p>
          <w:p>
            <w:pPr>
              <w:pStyle w:val="192"/>
              <w:numPr>
                <w:ilvl w:val="0"/>
                <w:numId w:val="30"/>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千兆网络接入设计</w:t>
            </w:r>
          </w:p>
          <w:p>
            <w:pPr>
              <w:pStyle w:val="192"/>
              <w:numPr>
                <w:ilvl w:val="0"/>
                <w:numId w:val="30"/>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线速转发</w:t>
            </w:r>
          </w:p>
          <w:p>
            <w:pPr>
              <w:pStyle w:val="192"/>
              <w:numPr>
                <w:ilvl w:val="0"/>
                <w:numId w:val="30"/>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存储转发交换方式</w:t>
            </w:r>
          </w:p>
          <w:p>
            <w:pPr>
              <w:pStyle w:val="192"/>
              <w:numPr>
                <w:ilvl w:val="0"/>
                <w:numId w:val="30"/>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坚固式高强度金属外壳</w:t>
            </w:r>
          </w:p>
          <w:p>
            <w:pPr>
              <w:pStyle w:val="192"/>
              <w:numPr>
                <w:ilvl w:val="0"/>
                <w:numId w:val="30"/>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无风扇设计，高可靠性</w:t>
            </w:r>
          </w:p>
          <w:p>
            <w:pPr>
              <w:pStyle w:val="192"/>
              <w:numPr>
                <w:ilvl w:val="0"/>
                <w:numId w:val="30"/>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整机最大POE供电功率：110 W</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63</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12</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数字传输箱</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ind w:firstLine="0"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1.内含双路220V电源防雷，</w:t>
            </w:r>
          </w:p>
          <w:p>
            <w:pPr>
              <w:pStyle w:val="192"/>
              <w:ind w:firstLine="0"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2.双路10A空气开关一个， 3芯插座一个</w:t>
            </w:r>
          </w:p>
          <w:p>
            <w:pPr>
              <w:pStyle w:val="192"/>
              <w:ind w:firstLine="0"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 xml:space="preserve">3.整体结构采用拼焊结构，牢固、钢性好、牢固可靠 </w:t>
            </w:r>
          </w:p>
          <w:p>
            <w:pPr>
              <w:pStyle w:val="192"/>
              <w:ind w:firstLine="0"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4.防护等级IP55</w:t>
            </w:r>
          </w:p>
          <w:p>
            <w:pPr>
              <w:pStyle w:val="192"/>
              <w:ind w:firstLine="0"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 xml:space="preserve">5.工作湿度：湿度5%~95%@40℃，无凝结 </w:t>
            </w:r>
          </w:p>
          <w:p>
            <w:pPr>
              <w:pStyle w:val="192"/>
              <w:ind w:firstLine="0"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6.工作温度：温度-40℃~70℃</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63</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13</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监控杆</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ind w:firstLine="0"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定制；高4.5米，含基础(1400×800×800mm)</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13</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支</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14</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监控杆</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定制；高6.5米，含基础(1400×800×800mm)</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支</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15</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横臂杆件（1米）</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挂墙/挂杆横臂；</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24</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根</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16</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横臂杆件（2米）</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挂墙/挂杆横臂；</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22</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根</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17</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防雷地网设备</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新建防雷地网，含测试，要求 10 Ω 以下</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66</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系统</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18</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避雷针设备</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Ø25mm 镀锌圆钢，长度 600mm</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15</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根</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19</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接地地极设备</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∠5×50×50×2500mm 角钢；5处监控点新建地极，每处4根角钢</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212</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根</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20</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机箱接地排设备</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2*10cm-4 孔紫铜接地排</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65</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块</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21</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BV-1*25mm²防雷接地线缆(总线)</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BV-1*25mm²防雷接地线缆 (总线)</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300.00</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m</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22</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BV-1*6mm²防雷接地线缆(接设备)</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BV-1*6mm²防雷接地线缆 (接设备)</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250.00</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m</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23</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地网测试服务</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地网电阻测试，每个点要求 10 Ω 以下,监控中心接地要求 4Ω以下</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63</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系统</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24</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管理客户端</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r>
              <w:rPr>
                <w:rFonts w:hint="eastAsia" w:ascii="宋体" w:hAnsi="宋体" w:eastAsia="宋体" w:cs="宋体"/>
                <w:color w:val="000000" w:themeColor="text1"/>
                <w:sz w:val="20"/>
                <w:szCs w:val="20"/>
                <w:highlight w:val="none"/>
              </w:rPr>
              <w:t>.</w:t>
            </w:r>
            <w:r>
              <w:rPr>
                <w:rFonts w:hint="eastAsia" w:ascii="宋体" w:hAnsi="宋体" w:cs="宋体"/>
                <w:color w:val="000000" w:themeColor="text1"/>
                <w:sz w:val="20"/>
                <w:szCs w:val="20"/>
                <w:highlight w:val="none"/>
              </w:rPr>
              <w:t>CPU：四核 3.0GHz 以上,8MB 缓存以上；</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2</w:t>
            </w:r>
            <w:r>
              <w:rPr>
                <w:rFonts w:hint="eastAsia" w:ascii="宋体" w:hAnsi="宋体" w:eastAsia="宋体" w:cs="宋体"/>
                <w:color w:val="000000" w:themeColor="text1"/>
                <w:sz w:val="20"/>
                <w:szCs w:val="20"/>
                <w:highlight w:val="none"/>
              </w:rPr>
              <w:t>.</w:t>
            </w:r>
            <w:r>
              <w:rPr>
                <w:rFonts w:hint="eastAsia" w:ascii="宋体" w:hAnsi="宋体" w:cs="宋体"/>
                <w:color w:val="000000" w:themeColor="text1"/>
                <w:sz w:val="20"/>
                <w:szCs w:val="20"/>
                <w:highlight w:val="none"/>
              </w:rPr>
              <w:t>操作系统：Windows® 7 (64 位)；</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3</w:t>
            </w:r>
            <w:r>
              <w:rPr>
                <w:rFonts w:hint="eastAsia" w:ascii="宋体" w:hAnsi="宋体" w:eastAsia="宋体" w:cs="宋体"/>
                <w:color w:val="000000" w:themeColor="text1"/>
                <w:sz w:val="20"/>
                <w:szCs w:val="20"/>
                <w:highlight w:val="none"/>
              </w:rPr>
              <w:t>.</w:t>
            </w:r>
            <w:r>
              <w:rPr>
                <w:rFonts w:hint="eastAsia" w:ascii="宋体" w:hAnsi="宋体" w:cs="宋体"/>
                <w:color w:val="000000" w:themeColor="text1"/>
                <w:sz w:val="20"/>
                <w:szCs w:val="20"/>
                <w:highlight w:val="none"/>
              </w:rPr>
              <w:t xml:space="preserve">8GB DDR4 2400MHz 内存； </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4</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 xml:space="preserve">1TB 7200 rpm SATA 6Gb/s 硬盘； </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5</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独立显卡： 2GB DDR3；</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6</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16X DVD+/-RW 光驱；</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7</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 xml:space="preserve">集成千兆 10/100/1000 以太网； </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8</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 xml:space="preserve">23 英寸 LED 背光 TN 液晶显示器，最佳分辨率 1920 × 1080； </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9</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响应时间：5ms；</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25</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高清视频线</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HDMI；20米/根</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9</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根</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26</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超六类网线</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UTP CAT6A；3米/根</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20</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根</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27</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机柜接地排</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4*40紫铜排；不少于7口接地端；</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块</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28</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机柜设备接地线</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BV 1*16mm²防雷接地线缆</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20.00</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m</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themeColor="text1"/>
                <w:sz w:val="20"/>
                <w:szCs w:val="20"/>
                <w:highlight w:val="none"/>
              </w:rPr>
            </w:pPr>
            <w:r>
              <w:rPr>
                <w:rFonts w:hint="eastAsia" w:ascii="宋体" w:hAnsi="宋体" w:cs="宋体"/>
                <w:color w:val="000000" w:themeColor="text1"/>
                <w:sz w:val="20"/>
                <w:szCs w:val="20"/>
                <w:highlight w:val="none"/>
              </w:rPr>
              <w:t>29</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收扩机 IP/4G双模 120W</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2*60W D类功放</w:t>
            </w:r>
          </w:p>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可带1~2个50W/8欧号角</w:t>
            </w:r>
          </w:p>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3</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声压：&gt;=105dB/M</w:t>
            </w:r>
          </w:p>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双网络支持：有线网络（优先）、4G网络</w:t>
            </w:r>
          </w:p>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5</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省流量设计：内存2G存储卡，存储周期性任务的音频文件</w:t>
            </w:r>
          </w:p>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6</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云平台远程控制：设备状态上报、播报状态上报、远程重启、OTA、配置下发、定时/即时/周期性广播/话筒实时喊话/APP喊话、广播控制、设备音量调节、广播任务音量设定、存储卡清空及格式化、日志上报等，支持第三方系统接入控制，带数字签名/安全认证/MD5校验/授权接入等安全机制</w:t>
            </w:r>
          </w:p>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7</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支持分区/分组广播、单选或多选分区及设备广播</w:t>
            </w:r>
          </w:p>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8</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看门狗功能：异常处理及重启、网络重连等</w:t>
            </w:r>
          </w:p>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9</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待机功率&lt;5W</w:t>
            </w:r>
          </w:p>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10</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支持本地音频输入输出</w:t>
            </w:r>
          </w:p>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11</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尺寸：长225*宽95*高260</w:t>
            </w:r>
          </w:p>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12</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底部内沉式金属结构，防雨防尘设计</w:t>
            </w:r>
          </w:p>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13</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内置网络隔离防雷处理电路</w:t>
            </w:r>
          </w:p>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14</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SIM卡槽接口：标准SIM；RJ45/100Mbps；</w:t>
            </w:r>
          </w:p>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15</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音频格式：MP3/AAC；</w:t>
            </w:r>
          </w:p>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16</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 xml:space="preserve"> 音频模式：16位 立体声CD音质；</w:t>
            </w:r>
          </w:p>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17</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 xml:space="preserve"> 输出频率：80Hz~16KHz；</w:t>
            </w:r>
          </w:p>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18</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 xml:space="preserve"> 输入电源：AC220V/50Hz；</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themeColor="text1"/>
                <w:sz w:val="20"/>
                <w:szCs w:val="20"/>
                <w:highlight w:val="none"/>
              </w:rPr>
            </w:pPr>
            <w:r>
              <w:rPr>
                <w:rFonts w:hint="eastAsia" w:ascii="宋体" w:hAnsi="宋体" w:cs="宋体"/>
                <w:color w:val="000000" w:themeColor="text1"/>
                <w:sz w:val="20"/>
                <w:szCs w:val="20"/>
                <w:highlight w:val="none"/>
              </w:rPr>
              <w:t>30</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color w:val="000000" w:themeColor="text1"/>
                <w:sz w:val="20"/>
                <w:szCs w:val="20"/>
                <w:highlight w:val="none"/>
              </w:rPr>
            </w:pPr>
            <w:r>
              <w:rPr>
                <w:rFonts w:hint="eastAsia" w:ascii="宋体" w:hAnsi="宋体" w:cs="宋体"/>
                <w:color w:val="000000" w:themeColor="text1"/>
                <w:sz w:val="20"/>
                <w:szCs w:val="20"/>
                <w:highlight w:val="none"/>
              </w:rPr>
              <w:t>30</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物联网卡</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运营商</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themeColor="text1"/>
                <w:sz w:val="20"/>
                <w:szCs w:val="20"/>
                <w:highlight w:val="none"/>
              </w:rPr>
            </w:pPr>
            <w:r>
              <w:rPr>
                <w:rFonts w:hint="eastAsia" w:ascii="宋体" w:hAnsi="宋体" w:cs="宋体"/>
                <w:color w:val="000000" w:themeColor="text1"/>
                <w:sz w:val="20"/>
                <w:szCs w:val="20"/>
                <w:highlight w:val="none"/>
              </w:rPr>
              <w:t>31</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张</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color w:val="000000" w:themeColor="text1"/>
                <w:sz w:val="20"/>
                <w:szCs w:val="20"/>
                <w:highlight w:val="none"/>
              </w:rPr>
            </w:pPr>
            <w:r>
              <w:rPr>
                <w:rFonts w:hint="eastAsia" w:ascii="宋体" w:hAnsi="宋体" w:cs="宋体"/>
                <w:color w:val="000000" w:themeColor="text1"/>
                <w:sz w:val="20"/>
                <w:szCs w:val="20"/>
                <w:highlight w:val="none"/>
              </w:rPr>
              <w:t>31</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号角 50W/8欧</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50W；</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2</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宽广的开放角度；</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3</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极佳的语音回放和声音传播效果；</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4</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铝合金外壳，通用安装支架；</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5</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符合国际安装和安全法规要求；</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6</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输入阻抗： 8±15%Ω；</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7</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频响：380Hz-6.5KHz；</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8</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灵敏度：≥105 dB；</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9</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安装形式：定向可调节支架式；</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10</w:t>
            </w:r>
            <w:r>
              <w:rPr>
                <w:rFonts w:hint="eastAsia" w:ascii="宋体" w:hAnsi="宋体" w:cs="宋体"/>
                <w:color w:val="000000" w:themeColor="text1"/>
                <w:sz w:val="20"/>
                <w:szCs w:val="20"/>
                <w:highlight w:val="none"/>
                <w:lang w:eastAsia="zh-CN"/>
              </w:rPr>
              <w:t>.</w:t>
            </w:r>
            <w:r>
              <w:rPr>
                <w:rFonts w:hint="eastAsia" w:ascii="宋体" w:hAnsi="宋体" w:cs="宋体"/>
                <w:color w:val="000000" w:themeColor="text1"/>
                <w:sz w:val="20"/>
                <w:szCs w:val="20"/>
                <w:highlight w:val="none"/>
              </w:rPr>
              <w:t>装饰材料：ABS；</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themeColor="text1"/>
                <w:sz w:val="20"/>
                <w:szCs w:val="20"/>
                <w:highlight w:val="none"/>
              </w:rPr>
            </w:pPr>
            <w:r>
              <w:rPr>
                <w:rFonts w:hint="eastAsia" w:ascii="宋体" w:hAnsi="宋体" w:cs="宋体"/>
                <w:color w:val="000000" w:themeColor="text1"/>
                <w:sz w:val="20"/>
                <w:szCs w:val="20"/>
                <w:highlight w:val="none"/>
              </w:rPr>
              <w:t>30</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color w:val="000000" w:themeColor="text1"/>
                <w:sz w:val="20"/>
                <w:szCs w:val="20"/>
                <w:highlight w:val="none"/>
              </w:rPr>
            </w:pPr>
            <w:r>
              <w:rPr>
                <w:rFonts w:hint="eastAsia" w:ascii="宋体" w:hAnsi="宋体" w:cs="宋体"/>
                <w:color w:val="000000" w:themeColor="text1"/>
                <w:sz w:val="20"/>
                <w:szCs w:val="20"/>
                <w:highlight w:val="none"/>
              </w:rPr>
              <w:t>32</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话筒 4G</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1</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采样率8K~48KHz</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2</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5寸触控屏</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3</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内置4W喇叭</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4</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支持实时喊话、U盘播放、LINE IN</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5</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网络：4G（TDD/FDD）</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6</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云平台远程控制：设备状态上报、播报状态上报、远程重启、OTA、配置下发等，支持第三方系统接入控制，带数字签名/安全认证/MD5校验/授权接入等安全机制</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7</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支持分区/分组广播、单选或多选分区及设备广播</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8</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可选支持UKEY</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9</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看门狗功能：异常处理及重启、网络重连等</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10</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待机功率&lt;2W</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11</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尺寸：长190x宽132x高53</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12</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 xml:space="preserve"> 金属底座材质，铝合金拉丝面板，桌面式话筒设计，高端大气；</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13</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 xml:space="preserve"> 采用DSP软件音频解码方案，高保真；</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14</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 xml:space="preserve"> 具有一键启动全区广播功能；</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15</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 xml:space="preserve"> 具有音量调节功能；</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16</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 xml:space="preserve"> 具有数字密码保护功能，输入密码才能进入菜单操作；</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17</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 xml:space="preserve"> 配置高指向拾音麦克风，保证通话清晰无干扰，麦杆可以随意拆卸；</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18</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 xml:space="preserve"> 内置网络隔离防雷处理电路；</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19</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 xml:space="preserve"> 电源：DC 12V/3A；</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20</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 xml:space="preserve"> MIC输入灵敏度：10mV；</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21</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 xml:space="preserve"> 线路输入电平：300mV；</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22</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 xml:space="preserve"> 音频位率：8Kbps～320Kbps自适应；</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23</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 xml:space="preserve"> 频率响应：40Hz～20KHz；信噪比：≥80dB；</w:t>
            </w:r>
          </w:p>
          <w:p>
            <w:pPr>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24</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 xml:space="preserve"> 音频格式：MP3/AAC；</w:t>
            </w:r>
          </w:p>
          <w:p>
            <w:pPr>
              <w:jc w:val="left"/>
              <w:rPr>
                <w:rFonts w:hint="eastAsia" w:ascii="宋体" w:hAnsi="宋体" w:cs="宋体"/>
                <w:color w:val="000000" w:themeColor="text1"/>
                <w:sz w:val="20"/>
                <w:szCs w:val="20"/>
                <w:highlight w:val="none"/>
              </w:rPr>
            </w:pPr>
            <w:r>
              <w:rPr>
                <w:rFonts w:hint="eastAsia" w:ascii="宋体" w:hAnsi="宋体" w:eastAsia="宋体" w:cs="宋体"/>
                <w:color w:val="000000" w:themeColor="text1"/>
                <w:sz w:val="20"/>
                <w:szCs w:val="20"/>
                <w:highlight w:val="none"/>
              </w:rPr>
              <w:t>25</w:t>
            </w:r>
            <w:r>
              <w:rPr>
                <w:rFonts w:hint="eastAsia" w:ascii="宋体" w:hAnsi="宋体" w:eastAsia="宋体" w:cs="宋体"/>
                <w:color w:val="000000" w:themeColor="text1"/>
                <w:sz w:val="20"/>
                <w:szCs w:val="20"/>
                <w:highlight w:val="none"/>
                <w:lang w:eastAsia="zh-CN"/>
              </w:rPr>
              <w:t>.</w:t>
            </w:r>
            <w:r>
              <w:rPr>
                <w:rFonts w:hint="eastAsia" w:ascii="宋体" w:hAnsi="宋体" w:eastAsia="宋体" w:cs="宋体"/>
                <w:color w:val="000000" w:themeColor="text1"/>
                <w:sz w:val="20"/>
                <w:szCs w:val="20"/>
                <w:highlight w:val="none"/>
              </w:rPr>
              <w:t xml:space="preserve"> 总谐波失真：≤1%；</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color w:val="000000" w:themeColor="text1"/>
                <w:sz w:val="20"/>
                <w:szCs w:val="20"/>
                <w:highlight w:val="none"/>
              </w:rPr>
            </w:pPr>
            <w:r>
              <w:rPr>
                <w:rFonts w:hint="eastAsia" w:ascii="宋体" w:hAnsi="宋体" w:cs="宋体"/>
                <w:color w:val="000000" w:themeColor="text1"/>
                <w:sz w:val="20"/>
                <w:szCs w:val="20"/>
                <w:highlight w:val="none"/>
              </w:rPr>
              <w:t>33</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持续电源主机</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6kVA/5400w</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34</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电池组</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12V/38Ah</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16</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35</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电池柜和电池连接线</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定制，配线 电池连接线</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套</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36</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单红LED显示屏 ( 含控制单元）（大门口）</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1.像素部分：点间距:≤10mm，构成:1R，像素密度:≥10000DOts/㎡</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2.灯管组成：贴片SMD2835H</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3.模组尺寸：320mm*160mm；模组像素：32*16</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4.屏幕亮度：≥800cd/㎡（白平衡时）</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 xml:space="preserve">5.亮度调节方式：软件256级可调; </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6.屏幕可视角度水平140±10°/垂直130±10°</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7.观看最佳距离：≥10 m</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8.扫描驱动方式：恒流驱动1/4扫</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9.换帧频率：≥60帧/秒</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10.刷新频率：≥60HZ</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11.平均无故障时间：≥10000小时</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12.寿命：≧10万小时</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13.亮度均匀性：≥95%</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14.灰度等级（bits）：8</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15.工作环境温度：-20℃～+40℃，工作环境湿度：10％～90％RH</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16.峰值功耗（W/㎡）：308W；平均功耗（W/㎡）:103W</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17.平整度：任意相邻像素间≤1mm</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18.防护性能：超温/过载/掉电/图像补偿/各种校正技术/过流/过压/防雷(可选项)</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19.具备国家3C、CE、FCC、ROHS认证</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2.00</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color w:val="000000" w:themeColor="text1"/>
                <w:sz w:val="20"/>
                <w:szCs w:val="20"/>
                <w:highlight w:val="none"/>
                <w:lang w:eastAsia="zh-CN"/>
              </w:rPr>
            </w:pPr>
            <w:r>
              <w:rPr>
                <w:rFonts w:hint="eastAsia" w:ascii="宋体" w:hAnsi="宋体" w:cs="宋体"/>
                <w:color w:val="000000" w:themeColor="text1"/>
                <w:sz w:val="20"/>
                <w:szCs w:val="20"/>
                <w:highlight w:val="none"/>
                <w:lang w:val="en-US" w:eastAsia="zh-CN"/>
              </w:rPr>
              <w:t>㎡</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37</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LED显示屏异步控制卡</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接口卡安装、调试</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张</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38</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电表报装服务</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本地供电部门要求（包括电表、外壳、空开）</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3</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套</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39</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电表套装服务</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包括电表、外壳、空开</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24</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套</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color w:val="000000" w:themeColor="text1"/>
                <w:sz w:val="20"/>
                <w:szCs w:val="20"/>
                <w:highlight w:val="none"/>
              </w:rPr>
            </w:pPr>
            <w:r>
              <w:rPr>
                <w:rFonts w:hint="eastAsia" w:ascii="宋体" w:hAnsi="宋体" w:cs="宋体"/>
                <w:color w:val="000000" w:themeColor="text1"/>
                <w:sz w:val="20"/>
                <w:szCs w:val="20"/>
                <w:highlight w:val="none"/>
              </w:rPr>
              <w:t>40</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配电箱</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监控室定制，40KW</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9887" w:type="dxa"/>
            <w:gridSpan w:val="5"/>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b/>
                <w:bCs/>
                <w:color w:val="000000" w:themeColor="text1"/>
                <w:sz w:val="20"/>
                <w:szCs w:val="20"/>
                <w:highlight w:val="none"/>
              </w:rPr>
            </w:pPr>
            <w:r>
              <w:rPr>
                <w:rFonts w:hint="eastAsia" w:ascii="宋体" w:hAnsi="宋体" w:cs="宋体"/>
                <w:b/>
                <w:bCs/>
                <w:color w:val="000000" w:themeColor="text1"/>
                <w:kern w:val="0"/>
                <w:sz w:val="20"/>
                <w:szCs w:val="20"/>
                <w:highlight w:val="none"/>
                <w:lang w:bidi="ar"/>
              </w:rPr>
              <w:t>二、综合管理平台部分</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kern w:val="0"/>
                <w:sz w:val="20"/>
                <w:szCs w:val="20"/>
                <w:highlight w:val="none"/>
                <w:lang w:bidi="ar"/>
              </w:rPr>
              <w:t>41</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49寸拼接屏</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numPr>
                <w:ilvl w:val="0"/>
                <w:numId w:val="31"/>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LCD显示单元为：49“超窄边液晶屏；单元物理拼缝≤3.5mm，物理分辨率达到1920×1080，响应时间≤8ms。</w:t>
            </w:r>
          </w:p>
          <w:p>
            <w:pPr>
              <w:pStyle w:val="192"/>
              <w:numPr>
                <w:ilvl w:val="0"/>
                <w:numId w:val="31"/>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▲LCD显示单元亮度达到600cd/㎡，静态对比度达到3500：1，图像显示清晰度≥950TVL，亮度鉴别等级为11级。（须在第三方检测报告中体现，并加盖厂商公章）</w:t>
            </w:r>
          </w:p>
          <w:p>
            <w:pPr>
              <w:pStyle w:val="192"/>
              <w:numPr>
                <w:ilvl w:val="0"/>
                <w:numId w:val="31"/>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▲亮度均匀性95%，色彩均匀性≥95%，水平可视视角≥178°，垂直可视视角≥178°，显示色彩≥16.7M。（须在第三方检测报告中体现，并加盖厂商公章）</w:t>
            </w:r>
          </w:p>
          <w:p>
            <w:pPr>
              <w:pStyle w:val="192"/>
              <w:numPr>
                <w:ilvl w:val="0"/>
                <w:numId w:val="31"/>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▲整机采用无风扇设计，具有良好的散热性能。液晶拼接单元平均无故障运行时间在30万小时。（须在第三方检测报告中体现，并加盖厂商公章）</w:t>
            </w:r>
          </w:p>
          <w:p>
            <w:pPr>
              <w:pStyle w:val="192"/>
              <w:numPr>
                <w:ilvl w:val="0"/>
                <w:numId w:val="31"/>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大屏显示单元在断电前处于待机状态，下一次上电后，仍然处于待机状态。</w:t>
            </w:r>
          </w:p>
          <w:p>
            <w:pPr>
              <w:pStyle w:val="192"/>
              <w:numPr>
                <w:ilvl w:val="0"/>
                <w:numId w:val="31"/>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设备支持节能模式，打开节能模式后，对应拼接单元上会依次显示实时百分比功率、实时功率、累计功率等直观显示项目。</w:t>
            </w:r>
          </w:p>
          <w:p>
            <w:pPr>
              <w:pStyle w:val="192"/>
              <w:numPr>
                <w:ilvl w:val="0"/>
                <w:numId w:val="31"/>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支持图像冻结（静止）功能，可将某一帧图像持续显示：图像持续显示；图像冻结（静止）关闭时，恢复正常显示。</w:t>
            </w:r>
          </w:p>
          <w:p>
            <w:pPr>
              <w:pStyle w:val="192"/>
              <w:numPr>
                <w:ilvl w:val="0"/>
                <w:numId w:val="31"/>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支持边缘屏蔽功能，可消除显示终端上存在的黑边及因拼缝带来的图像变形。</w:t>
            </w:r>
          </w:p>
          <w:p>
            <w:pPr>
              <w:pStyle w:val="192"/>
              <w:numPr>
                <w:ilvl w:val="0"/>
                <w:numId w:val="31"/>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设备具有不断电待机功能，待机功耗低于0.5W；当无任何信号输入时，设备在规定时内自动待机节能，当有信号接入时，设备能够快速开机，正常显示。</w:t>
            </w:r>
          </w:p>
          <w:p>
            <w:pPr>
              <w:pStyle w:val="192"/>
              <w:numPr>
                <w:ilvl w:val="0"/>
                <w:numId w:val="31"/>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设备支持标准、柔和、动态、自定义等多种图像显示模式：自定义下可以随意修改亮度、对比度、锐度、饱和度、色调的值；支持正常、3种夜晚和3种日照等多种情景模式，能适应夜晚过暗或白天过曝情景的显示（须在第三方检测报告中体现，并加盖厂商公章）</w:t>
            </w:r>
          </w:p>
          <w:p>
            <w:pPr>
              <w:pStyle w:val="192"/>
              <w:numPr>
                <w:ilvl w:val="0"/>
                <w:numId w:val="31"/>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具有宽动态效果。</w:t>
            </w:r>
          </w:p>
          <w:p>
            <w:pPr>
              <w:pStyle w:val="192"/>
              <w:numPr>
                <w:ilvl w:val="0"/>
                <w:numId w:val="31"/>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可通过客户端或菜单设置屏幕ID，ID属性包含行、列，实现自动分配ID。</w:t>
            </w:r>
          </w:p>
          <w:p>
            <w:pPr>
              <w:pStyle w:val="192"/>
              <w:numPr>
                <w:ilvl w:val="0"/>
                <w:numId w:val="31"/>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拼接屏具备去蓝光护眼功能，蓝光辐射不超过RG1，符各JEC/TR62778-2014标准。</w:t>
            </w:r>
          </w:p>
          <w:p>
            <w:pPr>
              <w:pStyle w:val="192"/>
              <w:numPr>
                <w:ilvl w:val="0"/>
                <w:numId w:val="31"/>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拼接屏具备智能温控功能，当屏幕温度在55-60℃之间时，会提醒用户温度过高，请及时通风；当温度超过60℃，屏幕会立即进入休眠状态；等温度降至50℃以下会被唤醒或者通过遥控器主动唤醒。</w:t>
            </w:r>
          </w:p>
          <w:p>
            <w:pPr>
              <w:pStyle w:val="192"/>
              <w:numPr>
                <w:ilvl w:val="0"/>
                <w:numId w:val="31"/>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可抵抗太阳光等强光干扰，照度在95Klux正常工作。</w:t>
            </w:r>
          </w:p>
          <w:p>
            <w:pPr>
              <w:pStyle w:val="192"/>
              <w:numPr>
                <w:ilvl w:val="0"/>
                <w:numId w:val="31"/>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输入接口：VGA × 1, HDMI × 1, DVI × 1，USB × 1。</w:t>
            </w:r>
          </w:p>
          <w:p>
            <w:pPr>
              <w:pStyle w:val="192"/>
              <w:numPr>
                <w:ilvl w:val="0"/>
                <w:numId w:val="31"/>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控制接口：RS232 IN × 1, RS232 OUT × 1。</w:t>
            </w:r>
          </w:p>
          <w:p>
            <w:pPr>
              <w:pStyle w:val="192"/>
              <w:numPr>
                <w:ilvl w:val="0"/>
                <w:numId w:val="31"/>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功耗：≤134W。</w:t>
            </w:r>
          </w:p>
          <w:p>
            <w:pPr>
              <w:pStyle w:val="192"/>
              <w:numPr>
                <w:ilvl w:val="0"/>
                <w:numId w:val="31"/>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电源要求：100～240 VAC, 50/60 Hz。</w:t>
            </w:r>
          </w:p>
          <w:p>
            <w:pPr>
              <w:pStyle w:val="192"/>
              <w:numPr>
                <w:ilvl w:val="0"/>
                <w:numId w:val="31"/>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▲产品应具备CQC节能认证证书。</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9</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kern w:val="0"/>
                <w:sz w:val="20"/>
                <w:szCs w:val="20"/>
                <w:highlight w:val="none"/>
                <w:lang w:bidi="ar"/>
              </w:rPr>
              <w:t>42</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气动壁挂单元</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numPr>
                <w:ilvl w:val="0"/>
                <w:numId w:val="32"/>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支架均采用SPCC优质冷轧钢板保障质量的源头；</w:t>
            </w:r>
          </w:p>
          <w:p>
            <w:pPr>
              <w:pStyle w:val="192"/>
              <w:numPr>
                <w:ilvl w:val="0"/>
                <w:numId w:val="32"/>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表面采用静电喷塑工艺；</w:t>
            </w:r>
          </w:p>
          <w:p>
            <w:pPr>
              <w:pStyle w:val="192"/>
              <w:numPr>
                <w:ilvl w:val="0"/>
                <w:numId w:val="32"/>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喷塑固化温度180-210度；</w:t>
            </w:r>
          </w:p>
          <w:p>
            <w:pPr>
              <w:pStyle w:val="192"/>
              <w:numPr>
                <w:ilvl w:val="0"/>
                <w:numId w:val="32"/>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涂层厚度80-100微米；</w:t>
            </w:r>
          </w:p>
          <w:p>
            <w:pPr>
              <w:pStyle w:val="192"/>
              <w:numPr>
                <w:ilvl w:val="0"/>
                <w:numId w:val="32"/>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对高防腐要求产品还可选择阴极电泳底漆工艺，防腐耐锈；</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9</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kern w:val="0"/>
                <w:sz w:val="20"/>
                <w:szCs w:val="20"/>
                <w:highlight w:val="none"/>
                <w:lang w:bidi="ar"/>
              </w:rPr>
              <w:t>个</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kern w:val="0"/>
                <w:sz w:val="20"/>
                <w:szCs w:val="20"/>
                <w:highlight w:val="none"/>
                <w:lang w:bidi="ar"/>
              </w:rPr>
              <w:t>43</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10路高清解码器</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numPr>
                <w:ilvl w:val="0"/>
                <w:numId w:val="3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不少于1个VGA输入接口、1个DVI输入接口输入分辨率支持1920*1080(60Hz)、1680*1050(60Hz)、1600*1200(60Hz)、1440*900(60Hz)、1366*768(60Hz)、1280*1024(60Hz)、1280*960(60Hz)、1280*1024(50Hz)、1280*800(60Hz)、1024*768(60Hz)、1280*720(60Hz)、1280*720(50Hz)、800*600(60Hz)的视频图像并显示</w:t>
            </w:r>
          </w:p>
          <w:p>
            <w:pPr>
              <w:pStyle w:val="192"/>
              <w:numPr>
                <w:ilvl w:val="0"/>
                <w:numId w:val="3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需支持不少于10个HDMI和5个BNC输出接口，HDMI接口输出分辨率为3840*2160(30Hz、1920*1080(50Hz)、1920*1080(60Hz))、1680*1050(60Hz)、1600*1200(60Hz)、1280*1024(60Hz)、1280*720(60Hz)、1280*720(50Hz)、1024*768(60Hz)。</w:t>
            </w:r>
          </w:p>
          <w:p>
            <w:pPr>
              <w:pStyle w:val="192"/>
              <w:numPr>
                <w:ilvl w:val="0"/>
                <w:numId w:val="3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支持1、2、4、6、8、9、10、12、16、25、36画面分割显示；支持平均分割；支持分割线开启/关闭设置，支持底色设置功能。</w:t>
            </w:r>
          </w:p>
          <w:p>
            <w:pPr>
              <w:pStyle w:val="192"/>
              <w:numPr>
                <w:ilvl w:val="0"/>
                <w:numId w:val="3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应支持10路1200W，或20路800W，或30路500W，或50路300W，或80路1080P及以下分辨率同时实时解码</w:t>
            </w:r>
          </w:p>
          <w:p>
            <w:pPr>
              <w:pStyle w:val="192"/>
              <w:numPr>
                <w:ilvl w:val="0"/>
                <w:numId w:val="3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▲应支持对输入的视频画面进行90°、180°、270°旋转显示。（须在公安部检测报告中体现，并加盖厂商公章）</w:t>
            </w:r>
          </w:p>
          <w:p>
            <w:pPr>
              <w:pStyle w:val="192"/>
              <w:numPr>
                <w:ilvl w:val="0"/>
                <w:numId w:val="3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应支持通过客户端软件将1路输入视频图像发送至多个输出接口拼接显示，支持1*2、1*3、1*4、1*5、1*6、1*7、1*8、1*9、1*10、2*1、2*2、2*3、2*4、2*5、3*1、3*2、3*3、4*1、4*2、5*1、5*2、6*1、7*1、8*1、9*1、10*1的拼接显示。</w:t>
            </w:r>
          </w:p>
          <w:p>
            <w:pPr>
              <w:pStyle w:val="192"/>
              <w:numPr>
                <w:ilvl w:val="0"/>
                <w:numId w:val="3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应支持通过IE浏览器进行网络模式设置，包括设置为流畅性优先/实时性优先。</w:t>
            </w:r>
          </w:p>
          <w:p>
            <w:pPr>
              <w:pStyle w:val="192"/>
              <w:numPr>
                <w:ilvl w:val="0"/>
                <w:numId w:val="3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可将当前的解码输出模式设置为一个场景，可保存多个场景，并可通过客户端软件切换场景。</w:t>
            </w:r>
          </w:p>
          <w:p>
            <w:pPr>
              <w:pStyle w:val="192"/>
              <w:numPr>
                <w:ilvl w:val="0"/>
                <w:numId w:val="3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▲支持黑白名单功能，可设置256个黑白名单；当设置白名单时，只允许白名单IP访问设备；当设置黑名单时，黑名单内IP无法访问设备。（须在公安部检测报告中体现，并加盖厂商公章）</w:t>
            </w:r>
          </w:p>
          <w:p>
            <w:pPr>
              <w:pStyle w:val="192"/>
              <w:numPr>
                <w:ilvl w:val="0"/>
                <w:numId w:val="3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▲支持PC 软件客户端、WEB 浏览器客户端、平台客户端、IPAD、可视化触控平台方式访问管理。（须在公安部检测报告中体现，并加盖厂商公章）</w:t>
            </w:r>
          </w:p>
          <w:p>
            <w:pPr>
              <w:pStyle w:val="192"/>
              <w:numPr>
                <w:ilvl w:val="0"/>
                <w:numId w:val="3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音频解码格式支持G.722、G.711A、G.726、G711U、MPEG2-L2、AAC。</w:t>
            </w:r>
          </w:p>
          <w:p>
            <w:pPr>
              <w:pStyle w:val="192"/>
              <w:numPr>
                <w:ilvl w:val="0"/>
                <w:numId w:val="3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网络接口：不少于2个光口，2个电口；支持10路音频输出，1路对讲输入，1路对讲输出；支持8路报警输入，8路报警输出</w:t>
            </w:r>
          </w:p>
          <w:p>
            <w:pPr>
              <w:pStyle w:val="192"/>
              <w:numPr>
                <w:ilvl w:val="0"/>
                <w:numId w:val="33"/>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设备通过高温、低温、恒定湿热试验（高温55±2℃，低温-10±3℃，持续时间2H；相对湿度90%~95%、温度40±2℃，持续时间48H）。</w:t>
            </w:r>
          </w:p>
          <w:p>
            <w:pPr>
              <w:pStyle w:val="192"/>
              <w:numPr>
                <w:ilvl w:val="0"/>
                <w:numId w:val="33"/>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编码格式：支持H.265、H.264、MPEG4、MJPEG等主流的编码格式；</w:t>
            </w:r>
          </w:p>
          <w:p>
            <w:pPr>
              <w:pStyle w:val="192"/>
              <w:numPr>
                <w:ilvl w:val="0"/>
                <w:numId w:val="33"/>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串行接口：一个标准232接口（RJ45）、一个标准485接口</w:t>
            </w:r>
          </w:p>
          <w:p>
            <w:pPr>
              <w:pStyle w:val="192"/>
              <w:numPr>
                <w:ilvl w:val="0"/>
                <w:numId w:val="33"/>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报警接口：8路报警输入，8路报警输出</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kern w:val="0"/>
                <w:sz w:val="20"/>
                <w:szCs w:val="20"/>
                <w:highlight w:val="none"/>
                <w:lang w:bidi="ar"/>
              </w:rPr>
              <w:t>44</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智能大屏管理平台一体机</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numPr>
                <w:ilvl w:val="0"/>
                <w:numId w:val="34"/>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搭载8核高性能CPU，8G双通道内存，256G高速SSD系统盘，2G独立显卡；</w:t>
            </w:r>
          </w:p>
          <w:p>
            <w:pPr>
              <w:pStyle w:val="192"/>
              <w:numPr>
                <w:ilvl w:val="0"/>
                <w:numId w:val="34"/>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接口丰富，支持HDMI高清音视频输出接口，音频输入/输出接口，双千兆网口，4个USB2.0+4个USB3.0接口</w:t>
            </w:r>
          </w:p>
          <w:p>
            <w:pPr>
              <w:pStyle w:val="192"/>
              <w:numPr>
                <w:ilvl w:val="0"/>
                <w:numId w:val="3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系统具备 C/S 和 B/S 结构，可通过客户端软件、平板和浏览器对大屏系统进行统一管理，包括大屏门户、 场景配置、预案切换、远程操控、 信号控制、 一键上墙、内容切换、多屏互动、窗口叠加/拼接/漫游/放大/缩小/移动/关闭等操作；支持查看信号源实时画面，实时查看大屏中正在播放的内容等功能</w:t>
            </w:r>
          </w:p>
          <w:p>
            <w:pPr>
              <w:pStyle w:val="192"/>
              <w:numPr>
                <w:ilvl w:val="0"/>
                <w:numId w:val="3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支持查看指定屏幕场景的播放状态，可添加、修改、删除、切换场景，并且可将场景关联中控模式，使场景与灯光、空调、投影等设备开关量模式联动</w:t>
            </w:r>
          </w:p>
          <w:p>
            <w:pPr>
              <w:pStyle w:val="192"/>
              <w:numPr>
                <w:ilvl w:val="0"/>
                <w:numId w:val="3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 xml:space="preserve">支持按照当前选定的显示屏建立相同分辨率的场景，以图形化编辑方式对窗口的开窗参数、窗口比例、窗口位置、窗口大小、窗口层级等参数进行设置，以鼠标拖动方式将信号、视频文件、字幕、图片、程序包等加载至场景中指定播放窗口；支持将网页、程序包、图片、视频、 PPT、Word 文档、 Excel、 PDF、文本等内容窗口拖动到大屏中，每种类型窗口可添加多个文件，可设置内容文件播放时长，内容播放顺序等属性； </w:t>
            </w:r>
          </w:p>
          <w:p>
            <w:pPr>
              <w:pStyle w:val="192"/>
              <w:numPr>
                <w:ilvl w:val="0"/>
                <w:numId w:val="3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大屏上支持显示配置好的门户，作为统一的门户入口，可控制单块或多块屏幕一起切换；支持自定义设置门户标题、背景图片、菜单名称、菜单图片、菜单链接内容，包含页面、场景、二级门户等</w:t>
            </w:r>
          </w:p>
          <w:p>
            <w:pPr>
              <w:pStyle w:val="192"/>
              <w:numPr>
                <w:ilvl w:val="0"/>
                <w:numId w:val="3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支持屏幕、网页、窗口等类型投屏，不需要外接物理线缆；通过电脑/平板远程控制播控主机，并可实时显示画面，支持设置抓屏区域的分辨率，可设置为7680×2160、 3840×2160、 2736×1824、 1920×1080、 1280×720；</w:t>
            </w:r>
          </w:p>
          <w:p>
            <w:pPr>
              <w:pStyle w:val="192"/>
              <w:numPr>
                <w:ilvl w:val="0"/>
                <w:numId w:val="3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支持通过触摸板控制多个屏幕场景的展示。</w:t>
            </w:r>
          </w:p>
          <w:p>
            <w:pPr>
              <w:pStyle w:val="192"/>
              <w:numPr>
                <w:ilvl w:val="0"/>
                <w:numId w:val="3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软件平台采用模块化设计，实现实时浏览、录像回放、大屏管理、字幕管理、中控管理、音频配置、信息发布等系统互联互通，在同一平台下可对不同功能模块进行操作，实现统一管理</w:t>
            </w:r>
          </w:p>
          <w:p>
            <w:pPr>
              <w:pStyle w:val="192"/>
              <w:numPr>
                <w:ilvl w:val="0"/>
                <w:numId w:val="3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支持可编程中控功能，通过对系统的编程配合周边的功能扩展模块，可实现灯光、音箱、投影、幕布、空调、窗帘、大屏等统一控制，支持模式切换；</w:t>
            </w:r>
          </w:p>
          <w:p>
            <w:pPr>
              <w:pStyle w:val="192"/>
              <w:numPr>
                <w:ilvl w:val="0"/>
                <w:numId w:val="3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支持大屏预编辑功能，在不影响大屏显示的前提下进行后台布局</w:t>
            </w:r>
          </w:p>
          <w:p>
            <w:pPr>
              <w:pStyle w:val="192"/>
              <w:numPr>
                <w:ilvl w:val="0"/>
                <w:numId w:val="3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支持一键将本地电脑桌面，投放到大屏上显示</w:t>
            </w:r>
          </w:p>
          <w:p>
            <w:pPr>
              <w:pStyle w:val="192"/>
              <w:numPr>
                <w:ilvl w:val="0"/>
                <w:numId w:val="3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▲视频监控解码能力：≥12路400万像素解码。（须在公安部检测报告中体现，并加盖厂商公章）</w:t>
            </w:r>
          </w:p>
          <w:p>
            <w:pPr>
              <w:pStyle w:val="192"/>
              <w:numPr>
                <w:ilvl w:val="0"/>
                <w:numId w:val="3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应用软件向导式启动及更新升级，支持应用软件打开即可全屏显示；支持Windows应用虚拟化，支持双系统同时开机同时使用；支持安装云盘软件，能对指定目录进行增备、全备及双向同步；支持对操作系统进行镜像备份和恢复；支持使用视图播放器对文件进行播放；支持使用浏览器对IPC、DVR、NVR进行预览回放操作，使用浏览器对平台软件进行操作。</w:t>
            </w:r>
          </w:p>
          <w:p>
            <w:pPr>
              <w:pStyle w:val="192"/>
              <w:numPr>
                <w:ilvl w:val="0"/>
                <w:numId w:val="3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系统需支持多种安防视频格式文件功能，支持全屏、单屏、2分屏、4分屏、9分屏、16分屏播放。</w:t>
            </w:r>
          </w:p>
          <w:p>
            <w:pPr>
              <w:pStyle w:val="192"/>
              <w:numPr>
                <w:ilvl w:val="0"/>
                <w:numId w:val="34"/>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▲多窗口倍速播放能力：支持16个窗口同时1或2倍速播放，或支持9个窗口同时4倍速播放，或支持4个窗口同时8倍速或16倍速播放。（须在公安部检测报告中体现，并加盖厂商公章）</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45</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综合安防管理平台</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1.基础功能</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支持管理最大组织数2000个，组织层级最大10级</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支持最大的在线用户数1000个，并发登录用户数50个</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单个窗口最大分割数量16个</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套</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46</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综合安防管理平台</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2.视频监控</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支持监控点数量10W个</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支持并发取流带宽2000</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解码能力：在i7、GTX1070的PC上，解码H264、720P的视频36路；</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支持电视墙最大场景数128个；</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单个电视墙最大支持数量25*25个；</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单个窗口最大分割数量16个。</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210</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路</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47</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综合安防管理平台</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3.视频联网</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支持国标协议上下级平台级联，支持流媒体集群配置</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套</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48</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综合安防管理平台</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4.数据联网应用</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支持按照不同协议对接第三方接入数据，包括但不限于1400标准协议，治安部标协议以及其他第三方协议</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套</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49</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综合安防管理平台</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5.园区卡口</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园区内道路上行驶车辆的抓拍识别，包含车牌号码、车牌类型、车牌颜色、车辆类型、车辆颜色、车辆品牌等属性识别</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150</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路</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50</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综合安防管理平台</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6.园区人员布控</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支持人脸库管理人脸数量1000000个</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▲支持对陌生人识别，人脸不在名单内时，系统自动报警（须在公安部检测报告中体现，并加盖厂商公章）</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套</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51</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综合安防管理平台</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7.设备网络管理</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支持对监控点、编码设备的在线状态进行设备巡检，并以统计图方式展示巡检结果</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套</w:t>
            </w:r>
          </w:p>
        </w:tc>
      </w:tr>
      <w:tr>
        <w:tblPrEx>
          <w:tblCellMar>
            <w:top w:w="0" w:type="dxa"/>
            <w:left w:w="108" w:type="dxa"/>
            <w:bottom w:w="0" w:type="dxa"/>
            <w:right w:w="108" w:type="dxa"/>
          </w:tblCellMar>
        </w:tblPrEx>
        <w:trPr>
          <w:trHeight w:val="9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52</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综合安防管理平台</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8.园区人车智能搜索</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▲支持车辆黑名单布控（须在公安部检测报告中体现，并加盖厂商公章）</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支持按车牌号码模糊布控，按车牌号码和颜色组合布控车辆</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▲支持车辆结构化数据的展示和查询。查询条件包括车牌号、车身颜色、车辆品牌、车辆类型、车牌颜色（须在公安部检测报告中体现，并加盖厂商公章）</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▲支持以脸搜脸，对人脸图片进行检索，检索结果支持列表模式和地图模式，地图模式可以按照时间顺序形成人脸轨迹，用于描述目标人员在该区域的移动路线（须在公安部检测报告中体现，并加盖厂商公章）</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1</w:t>
            </w:r>
          </w:p>
          <w:p>
            <w:pPr>
              <w:widowControl/>
              <w:jc w:val="left"/>
              <w:textAlignment w:val="center"/>
              <w:rPr>
                <w:rFonts w:hint="eastAsia" w:ascii="宋体" w:hAnsi="宋体" w:cs="宋体"/>
                <w:color w:val="000000" w:themeColor="text1"/>
                <w:sz w:val="20"/>
                <w:szCs w:val="20"/>
                <w:highlight w:val="none"/>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套</w:t>
            </w:r>
          </w:p>
          <w:p>
            <w:pPr>
              <w:widowControl/>
              <w:jc w:val="left"/>
              <w:textAlignment w:val="center"/>
              <w:rPr>
                <w:rFonts w:hint="eastAsia" w:ascii="宋体" w:hAnsi="宋体" w:cs="宋体"/>
                <w:color w:val="000000" w:themeColor="text1"/>
                <w:sz w:val="20"/>
                <w:szCs w:val="20"/>
                <w:highlight w:val="none"/>
              </w:rPr>
            </w:pP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53</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综合安防管理平台</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提供软件定制服务</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项</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54</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平台管理服务器</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eastAsia="宋体" w:cs="宋体"/>
                <w:color w:val="000000" w:themeColor="text1"/>
                <w:sz w:val="20"/>
                <w:szCs w:val="20"/>
                <w:highlight w:val="none"/>
              </w:rPr>
            </w:pPr>
            <w:r>
              <w:rPr>
                <w:rFonts w:hint="eastAsia" w:ascii="宋体" w:hAnsi="宋体" w:cs="宋体"/>
                <w:color w:val="000000" w:themeColor="text1"/>
                <w:sz w:val="20"/>
                <w:szCs w:val="20"/>
                <w:highlight w:val="none"/>
              </w:rPr>
              <w:t>1.CPU：1颗 处理器，核数24核，频率2.2GHz；</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2.内存：64GB DDR4，16根内存插槽，最大支持扩展至2TB内存；</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3.硬盘：4块600G 10K 2.5英寸SAS盘，最高可支持12块3.5寸(兼容2.5寸)热插拔SAS/SATA硬盘；</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4.可选支持2块后置2.5寸热插拔SAS/SATA硬盘；</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5.可选支持4块NVME U.2热插拔硬盘；</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6.支持1个M.2插槽；</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7.支持1个TF插槽"；</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8.阵列卡：标配SAS_HBA卡，支持RAID0/1/10；</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9.可选RAID_2G卡，支持0/1/5/6/10/50/60，可选支持断电保护；</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10.PCIE扩展：最大可支持6个PCIe扩展插槽；</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11.网口：2个千兆电口；</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12.其他接口：1个千兆RJ-45管理接口，4个USB 3.0接口，2个位于机箱后部，2个位于机箱前部；</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13.1个VGA口，位于机箱后部；</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14.电源：标配550W（1+1）白金冗余电源；</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15.支持200-240V 50/60Hz AC/HVDC。</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55</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AR实景地图应用平台</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1.基础功能</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支持用户自定义快捷入口；</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支持自定义菜单内容，支持平铺及分类两种菜单展示模式；</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支持页面元素设置，支持上传页面logo图标、修改网站标题、设置并添加网站外部链</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支持通过可视界面进行蓝色系和绿色系两套皮肤切换配置</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支持预览高点点位视频，视频流畅</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支持在高点视频中以画中画形式展示低点视频画面并进行放大，可同时预览多个标签的关联视频，最多支持10个标签同时预览</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支持在视频预览过程中通过鼠标滚轮控制设备进行变倍控制，倍率变动时，标签跟随视频画面调整显示位置</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套</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56</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AR实景地图应用平台</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2.AR高点场景数</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支持高点全景特写球机3D定位，框选全景画面中的目标位置，能够联动特写球机自动转到到指定目标位置，视频画面变倍放大</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支持高点视频回放时高点视频中关联的标签展示，已关联视频监控的标签支持以画中画的方式同步进行视频回放</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▲支持对标签的图标颜色进行修改，默认支持蓝色，可修改为绿色，橙色，紫色，红色，黄色（须在公安部检测报告中体现，并加盖厂商公章）</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支持在高点视频中管理客流量标签，属人员管控标签。标签包含以下信息和功能：标签名称、实时保有量、进客流量、出客流量和客流趋势</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套</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57</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AR实景地图应用平台</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3.AR实景地图高级包</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在高点视频中管理人脸标签。标签包含以下信息和功能：标签名称、实时抓拍、视频监控和人脸历史信息人脸历史信息：重点人员识别、实时抓拍、陌生人识别、高频人员识别须在公安部检测报告中体现，并加盖厂商公章</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支持在电子地图上展示系统内的高点视频点位位置</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支持在报警列表中选择低点标签的报警信息切换图标，可切换到报警所属的高点视频画面，球机可自动转向当前报警画面并进行变倍放大</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支持分别配置高点视频预览和回放画面中同时展示的标签详情窗口个数</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支持高点的增删改操作，高点基本信息的配置包括高点编号、高点名称、设备类型、高点通道、排序号、高点经纬度、可视域</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支持通过谷歌浏览器访问和管理平台</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套</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58</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AR实景地图应用平台</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4.AR实景地图车辆视频接力应用</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▲支持在高点视频中通过标签上的高点视频按钮，一键切换到关联的另外一个高点视频（须在公安部检测报告中体现，并加盖厂商公章）</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支持当前高点中所有已添加标签的个数统计，显示在主界面左上方，不同类型的标签按统计数量降序排列</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套</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59</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AR实景地图应用平台</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5. 视频监控点个数</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监控点通道个数授权</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13</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路</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kern w:val="0"/>
                <w:sz w:val="20"/>
                <w:szCs w:val="20"/>
                <w:highlight w:val="none"/>
                <w:lang w:bidi="ar"/>
              </w:rPr>
            </w:pPr>
            <w:r>
              <w:rPr>
                <w:rFonts w:hint="eastAsia" w:ascii="宋体" w:hAnsi="宋体" w:cs="宋体"/>
                <w:color w:val="000000" w:themeColor="text1"/>
                <w:kern w:val="0"/>
                <w:sz w:val="20"/>
                <w:szCs w:val="20"/>
                <w:highlight w:val="none"/>
                <w:lang w:bidi="ar"/>
              </w:rPr>
              <w:t>60</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AR实景地图应用平台服务器</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1. CPU：1颗 处理器，核数24核，频率2.2GHz；</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2. 内存：64GB DDR4，16根内存插槽，最大支持扩展至2TB内存；</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3. 硬盘：4块600G 10K 2.5英寸SAS盘，最高可支持12块3.5寸(兼容2.5寸)热插拔SAS/SATA硬盘；</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4. 可选支持2块后置2.5寸热插拔SAS/SATA硬盘；</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5. 可选支持4块NVME U.2热插拔硬盘；</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6. 支持1个M.2插槽；</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7. 支持1个TF插槽"；</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8. 阵列卡：标配SAS_HBA卡，支持RAID0/1/10；</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9. 可选RAID_2G卡，支持0/1/5/6/10/50/60，可选支持断电保护；</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10. PCIE扩展：最大可支持6个PCIe扩展插槽；</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11. 网口：2个千兆电口；</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12. 其他接口：1个千兆RJ-45管理接口，4个USB 3.0接口，2个位于机箱后部，2个位于机箱前部；1个VGA口，位于机箱后部；</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13. 电源：标配550W（1+1）白金冗余电源；</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14. 支持200-240V 50/60Hz AC/HVDC。</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kern w:val="0"/>
                <w:sz w:val="20"/>
                <w:szCs w:val="20"/>
                <w:highlight w:val="none"/>
                <w:lang w:bidi="ar"/>
              </w:rPr>
            </w:pPr>
            <w:r>
              <w:rPr>
                <w:rFonts w:hint="eastAsia" w:ascii="宋体" w:hAnsi="宋体" w:cs="宋体"/>
                <w:color w:val="000000" w:themeColor="text1"/>
                <w:kern w:val="0"/>
                <w:sz w:val="20"/>
                <w:szCs w:val="20"/>
                <w:highlight w:val="none"/>
                <w:lang w:bidi="ar"/>
              </w:rPr>
              <w:t>61</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数据可视化平台</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1.支持创建100个分组，支持针对分组进行修改、删除的操作；</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2.支持创建2000个主题；</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3.支持导入主题包生成主题；</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4.支持按照主题名称进行主题模糊搜索；</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5.支持新开标签页进行主题效果预览；</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6.▲支持使用100个基于地理信息系统与业务数据融合的可视化模板（须在公安部检测报告中体现，并加盖厂商公章）</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7.支持主题编辑、预览、导出、分组、复制、分享、发布的操作；</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8.支持使用柱图、渐变柱图、象形柱图、top榜、折线图、饼图、单环饼图、双层饼图、嵌套饼图、水球图、仪表盘、双层仪表盘、阈值图、双层阈值图、漏斗图、双层漏斗图、雷达图、基础地图、散点地图、飞线地图、热力地图、标题文本、多行文本、数字牌、表格、轮播图、视频、横向卡片、竖向卡片、对比卡片、装饰图片、tab、时间选择器、轮播图、在线时间器包括北京时间（年月日、周）、在线视频-云眸、在线视频-客户端组件（支持9路画面、支持视频画面定时轮巡）进行可视化配置；</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9.支持快捷键置顶、置底、上移一层、下移一层、复制、粘贴、删除、编组、解除编组、加入暂存、锁定、隐藏、变形操作；</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10.支持水平分布、垂直分布、左对齐、垂直居中、右对齐、顶对齐、水平居中、底对齐的操作；</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11.▲支持屏幕、网页、窗口等类型投屏；通过电脑远程控制可视化界面，并可实时显示画面（须在公安部检测报告中体现，并加盖厂商公章）</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12.支持通过拖拉拽实现多种数据源接入，无需编程，支持多种图表组件，支撑多种数据类型的分析与展示，支持本地或者远程进行公开或者加密访问和查看可视化，支持多种图表通过数据字段传参与别的图表进行联动展示。</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13.▲支持一键调色按照色相、饱和度、明度、对比度、不透明度进行可视化颜色调整。（须在公安部检测报告中体现，并加盖厂商公章）</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14.支持上传自定义的图表插件包。</w:t>
            </w:r>
          </w:p>
          <w:p>
            <w:pPr>
              <w:widowControl/>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15.支持管理项目中使用过的数据源。</w:t>
            </w:r>
          </w:p>
          <w:p>
            <w:pPr>
              <w:widowControl/>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16.支持自定义图表开发自定义属性，形成图表插件；</w:t>
            </w:r>
          </w:p>
          <w:p>
            <w:pPr>
              <w:widowControl/>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17.支持大屏鼠标交互控制，可点击某个业务图表进行到下层详细业务数据展示。</w:t>
            </w:r>
          </w:p>
          <w:p>
            <w:pPr>
              <w:widowControl/>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18.支持上传使用JPG、PNG、GIF、SVG、MP4、WEBP格式的素材文件。</w:t>
            </w:r>
          </w:p>
          <w:p>
            <w:pPr>
              <w:widowControl/>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19.支持自动筛选未在使用中的素材一键删除。</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套</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kern w:val="0"/>
                <w:sz w:val="20"/>
                <w:szCs w:val="20"/>
                <w:highlight w:val="none"/>
                <w:lang w:bidi="ar"/>
              </w:rPr>
            </w:pPr>
            <w:r>
              <w:rPr>
                <w:rFonts w:hint="eastAsia" w:ascii="宋体" w:hAnsi="宋体" w:cs="宋体"/>
                <w:color w:val="000000" w:themeColor="text1"/>
                <w:kern w:val="0"/>
                <w:sz w:val="20"/>
                <w:szCs w:val="20"/>
                <w:highlight w:val="none"/>
                <w:lang w:bidi="ar"/>
              </w:rPr>
              <w:t>62</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数据可视化平台服务器</w:t>
            </w:r>
          </w:p>
          <w:p>
            <w:pPr>
              <w:widowControl/>
              <w:jc w:val="left"/>
              <w:textAlignment w:val="center"/>
              <w:rPr>
                <w:rFonts w:hint="eastAsia" w:ascii="宋体" w:hAnsi="宋体" w:cs="宋体"/>
                <w:color w:val="000000" w:themeColor="text1"/>
                <w:sz w:val="20"/>
                <w:szCs w:val="20"/>
                <w:highlight w:val="none"/>
              </w:rPr>
            </w:pP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eastAsia="宋体" w:cs="宋体"/>
                <w:color w:val="000000" w:themeColor="text1"/>
                <w:sz w:val="20"/>
                <w:szCs w:val="20"/>
                <w:highlight w:val="none"/>
              </w:rPr>
            </w:pPr>
            <w:r>
              <w:rPr>
                <w:rFonts w:hint="eastAsia" w:ascii="宋体" w:hAnsi="宋体" w:cs="宋体"/>
                <w:color w:val="000000" w:themeColor="text1"/>
                <w:sz w:val="20"/>
                <w:szCs w:val="20"/>
                <w:highlight w:val="none"/>
              </w:rPr>
              <w:t>1.CPU：2颗 处理器，核数10核，频率2.4GHz；</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2.内存：128GB DDR4，16根内存插槽，最大支持扩展至2TB内存；</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3.硬盘：2块600G 10K 2.5英寸SAS盘，</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4.阵列卡：标配SAS_HBA卡，支持RAID0/1/10；</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5.PCIE扩展：最大可支持6个PCIe扩展插槽；</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6.网口：2个千兆电口；</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7.其他接口：1个千兆RJ-45管理接口，4个USB 3.0接口，2个位于机箱后部，2个位于机箱前部；</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8.1个VGA口，位于机箱后部；</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9.电源：标配550W（1+1）高效铂金CRPS冗余电源</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10.支持200-240V 50/60Hz AC/HVDC。</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套</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kern w:val="0"/>
                <w:sz w:val="20"/>
                <w:szCs w:val="20"/>
                <w:highlight w:val="none"/>
                <w:lang w:bidi="ar"/>
              </w:rPr>
              <w:t>63</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合智能超脑</w:t>
            </w:r>
          </w:p>
        </w:tc>
        <w:tc>
          <w:tcPr>
            <w:tcW w:w="6043" w:type="dxa"/>
            <w:tcBorders>
              <w:top w:val="single" w:color="000000" w:sz="4" w:space="0"/>
              <w:left w:val="single" w:color="000000" w:sz="4" w:space="0"/>
              <w:bottom w:val="single" w:color="000000" w:sz="4" w:space="0"/>
              <w:right w:val="single" w:color="000000" w:sz="4" w:space="0"/>
            </w:tcBorders>
            <w:noWrap/>
            <w:vAlign w:val="center"/>
          </w:tcPr>
          <w:p>
            <w:pPr>
              <w:pStyle w:val="192"/>
              <w:numPr>
                <w:ilvl w:val="0"/>
                <w:numId w:val="35"/>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4U标准机架式</w:t>
            </w:r>
          </w:p>
          <w:p>
            <w:pPr>
              <w:pStyle w:val="192"/>
              <w:numPr>
                <w:ilvl w:val="0"/>
                <w:numId w:val="35"/>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支持双4K异源输出</w:t>
            </w:r>
          </w:p>
          <w:p>
            <w:pPr>
              <w:pStyle w:val="192"/>
              <w:numPr>
                <w:ilvl w:val="0"/>
                <w:numId w:val="35"/>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24盘位，最高可满配12TB硬盘，支持硬盘热插拔</w:t>
            </w:r>
          </w:p>
          <w:p>
            <w:pPr>
              <w:pStyle w:val="192"/>
              <w:numPr>
                <w:ilvl w:val="0"/>
                <w:numId w:val="35"/>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4个千兆网口</w:t>
            </w:r>
          </w:p>
          <w:p>
            <w:pPr>
              <w:pStyle w:val="192"/>
              <w:numPr>
                <w:ilvl w:val="0"/>
                <w:numId w:val="35"/>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1个USB2.0接口、2个USB3.0接口</w:t>
            </w:r>
          </w:p>
          <w:p>
            <w:pPr>
              <w:pStyle w:val="192"/>
              <w:numPr>
                <w:ilvl w:val="0"/>
                <w:numId w:val="35"/>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1个eSATA接口，2个miniSAS接口</w:t>
            </w:r>
          </w:p>
          <w:p>
            <w:pPr>
              <w:pStyle w:val="192"/>
              <w:numPr>
                <w:ilvl w:val="0"/>
                <w:numId w:val="35"/>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IO报警：48进24出</w:t>
            </w:r>
          </w:p>
          <w:p>
            <w:pPr>
              <w:pStyle w:val="192"/>
              <w:numPr>
                <w:ilvl w:val="0"/>
                <w:numId w:val="35"/>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7寸LCD液晶显示屏</w:t>
            </w:r>
          </w:p>
          <w:p>
            <w:pPr>
              <w:pStyle w:val="192"/>
              <w:numPr>
                <w:ilvl w:val="0"/>
                <w:numId w:val="35"/>
              </w:numPr>
              <w:ind w:firstLineChars="0"/>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冗余电源</w:t>
            </w:r>
          </w:p>
          <w:p>
            <w:pPr>
              <w:pStyle w:val="192"/>
              <w:numPr>
                <w:ilvl w:val="0"/>
                <w:numId w:val="3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可插拔式安装主板、风扇、电源模块，并且风扇、冗余电源模块可热插拔，具有电源指示灯、硬盘指示灯、网络指示灯、系统运行状态指示灯、智能模块指示灯。</w:t>
            </w:r>
          </w:p>
          <w:p>
            <w:pPr>
              <w:pStyle w:val="192"/>
              <w:numPr>
                <w:ilvl w:val="0"/>
                <w:numId w:val="3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可同时显示输出不少于40路H.265编码、30fps、1920×1080格式的视频图像；支持1路H.265编码、25fps、8160×3616格式的视频实时预览。</w:t>
            </w:r>
          </w:p>
          <w:p>
            <w:pPr>
              <w:pStyle w:val="192"/>
              <w:numPr>
                <w:ilvl w:val="0"/>
                <w:numId w:val="3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可显示8160×3616（25帧/秒）、8160×2304（25帧/秒）、4000×3000(25帧/秒)、3072×3072(25帧/秒)、4096×2160(25帧/秒)、3840×2160(25帧/秒)、2560×2560(25帧/秒)、2560×1440(25帧/秒)、1920×1080(25帧/秒)、1280×960(25帧/秒)、1280×720(25帧/秒)、704×576(25帧/秒)分辨率码流</w:t>
            </w:r>
          </w:p>
          <w:p>
            <w:pPr>
              <w:pStyle w:val="192"/>
              <w:numPr>
                <w:ilvl w:val="0"/>
                <w:numId w:val="3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开启视频流智能分析，NVR解码性能不会降低</w:t>
            </w:r>
          </w:p>
          <w:p>
            <w:pPr>
              <w:pStyle w:val="192"/>
              <w:numPr>
                <w:ilvl w:val="0"/>
                <w:numId w:val="3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磁盘阵列功能： 可设置为RAID0、RAID1、RAID5、RAID6、RAID10、RAID50、RAID60、JBOD模式；支持一键创建RAID5阵列功能；RAID开启后，设备带宽不下降</w:t>
            </w:r>
          </w:p>
          <w:p>
            <w:pPr>
              <w:pStyle w:val="192"/>
              <w:numPr>
                <w:ilvl w:val="0"/>
                <w:numId w:val="3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不少于128路视频流人脸识别和不少于256路图片流人脸识别；需具有不少于12个GPU，单个GPU支持不少于30张/秒人脸比对报警，包括人脸比对成功、人脸比对失败、高频次报警和陌生人报警，单个GPU人脸库建模速度不低于38张/秒，人脸图片建模成功率不低于99.99%。（须在公安部检测报告中体现，并加盖厂商公章）</w:t>
            </w:r>
          </w:p>
          <w:p>
            <w:pPr>
              <w:pStyle w:val="192"/>
              <w:numPr>
                <w:ilvl w:val="0"/>
                <w:numId w:val="3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支持不少于64个人脸库，不少于50万张人脸图片，路人档案30万份</w:t>
            </w:r>
          </w:p>
          <w:p>
            <w:pPr>
              <w:pStyle w:val="192"/>
              <w:numPr>
                <w:ilvl w:val="0"/>
                <w:numId w:val="3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路人库一人一档功能；设备将陌生人自动归入到路人库，并统计和展示每个陌生人出现的次数，多次出现的陌生人，设备自动选取一张最优人脸图片入库，可点击次数信息展示每次抓拍的图片和时间以及人脸属性信息。（须在公安部检测报告中体现，并加盖厂商公章）</w:t>
            </w:r>
          </w:p>
          <w:p>
            <w:pPr>
              <w:pStyle w:val="192"/>
              <w:numPr>
                <w:ilvl w:val="0"/>
                <w:numId w:val="3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以脸搜脸首位命中率不低于95%，以脸搜脸前10位命中率不低于99%</w:t>
            </w:r>
          </w:p>
          <w:p>
            <w:pPr>
              <w:pStyle w:val="192"/>
              <w:numPr>
                <w:ilvl w:val="0"/>
                <w:numId w:val="3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▲支持对单场景内中35张人脸进行检测并抓拍；支持检出的人脸图片瞳距≥15像素；支持抓拍的人脸区域像素应≥50像素×50像素；（须在公安部检测报告中体现，并加盖厂商公章）</w:t>
            </w:r>
          </w:p>
          <w:p>
            <w:pPr>
              <w:pStyle w:val="192"/>
              <w:numPr>
                <w:ilvl w:val="0"/>
                <w:numId w:val="3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支持被测距离的常规、中距离、远距离三种检测模式，根据不同的检测距离，在配置界面给出最小可检出人体的目标尺寸，单个通道最多同时支持4种周界报警模式，每种模式最多同时支持4个警戒区域。</w:t>
            </w:r>
          </w:p>
          <w:p>
            <w:pPr>
              <w:pStyle w:val="192"/>
              <w:numPr>
                <w:ilvl w:val="0"/>
                <w:numId w:val="3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需支持不少于256路周界报警过滤功能，对IPC上报的越界侦测报警和区域入侵报警进行去误报，可去除由树叶、灯光、车辆、阴影以及小动物引起的误报，支持设置检测目标类型，包括人体、车辆。</w:t>
            </w:r>
          </w:p>
          <w:p>
            <w:pPr>
              <w:pStyle w:val="192"/>
              <w:numPr>
                <w:ilvl w:val="0"/>
                <w:numId w:val="3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支持不少于96路实时结构化分析功能：支持对视频中人员、车辆目标进行结构化识别、可提取出人体属性（性别、衣服颜色、戴眼镜、背包、骑车）、车辆属性（车辆品牌、车辆颜色、车辆类型、车牌号）。</w:t>
            </w:r>
          </w:p>
          <w:p>
            <w:pPr>
              <w:pStyle w:val="192"/>
              <w:numPr>
                <w:ilvl w:val="0"/>
                <w:numId w:val="3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支持检出水平转动角度、俯仰角、倾斜角不超过±45°且面部无遮挡的人脸；白天和晚上单人图片的人脸检出率不低于99%，单人图片的人脸检出响应时间不超过1秒；</w:t>
            </w:r>
          </w:p>
          <w:p>
            <w:pPr>
              <w:pStyle w:val="192"/>
              <w:numPr>
                <w:ilvl w:val="0"/>
                <w:numId w:val="3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人脸在低头角度不超过 20°，左右侧脸不超过 45°情况下，人脸正确识别率不小于 98%；</w:t>
            </w:r>
          </w:p>
          <w:p>
            <w:pPr>
              <w:pStyle w:val="192"/>
              <w:numPr>
                <w:ilvl w:val="0"/>
                <w:numId w:val="3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人脸正对相机，无人脸遮挡等干扰情况，非监视名单误报率≤0.01%；人脸识别准确率≥99%；监视名单漏报率不超过≤0.1%；</w:t>
            </w:r>
          </w:p>
          <w:p>
            <w:pPr>
              <w:pStyle w:val="192"/>
              <w:numPr>
                <w:ilvl w:val="0"/>
                <w:numId w:val="3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支持人脸轨迹功能，在人脸比对成功后，可在平面图上展示人员行动轨迹。</w:t>
            </w:r>
          </w:p>
          <w:p>
            <w:pPr>
              <w:pStyle w:val="192"/>
              <w:numPr>
                <w:ilvl w:val="0"/>
                <w:numId w:val="3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组合报警模式，可设置将NVR的报警输入口关联IPC的报警事件，只有当两个报警事件在预先设置的时间段内同时触发才能产生组合报警事件；组合报警支持IPC的遮挡报警、移动侦测、人脸侦测、人脸抓拍、车辆检测、越界侦测、区域入侵侦测、进入/离开区域、徘徊侦测、人员聚集侦测、快速移动侦测、停车侦测、物品遗留侦测、物品拿取侦测、音频输入异常侦测等事件。</w:t>
            </w:r>
          </w:p>
          <w:p>
            <w:pPr>
              <w:pStyle w:val="192"/>
              <w:numPr>
                <w:ilvl w:val="0"/>
                <w:numId w:val="35"/>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▲产品应具备CQC节能认证证书。</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kern w:val="0"/>
                <w:sz w:val="20"/>
                <w:szCs w:val="20"/>
                <w:highlight w:val="none"/>
                <w:lang w:bidi="ar"/>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kern w:val="0"/>
                <w:sz w:val="20"/>
                <w:szCs w:val="20"/>
                <w:highlight w:val="none"/>
                <w:lang w:bidi="ar"/>
              </w:rPr>
              <w:t>64</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48盘位存储设备</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≥1颗64位多核处理器，≥4GB内存，内存支持扩展到≥256GB，内置SSD固态硬盘（可以扩展到4个SSD作为缓存盘），配置≥6个风扇，支持风扇热插拔冗余温控调速风扇。</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支持热插拔1+1AC220V 或 1+1 直流冗余金牌电源供电，机箱具备防尘滤网，采用双立柱防震设计</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标配≥2个千兆网口，可增扩≥6个千兆网口，或可增扩≥4个万兆网口或≥6个HDMI接口或≥4个SAS3.0接口；支持≥12级扩展柜级联扩展；可支持12GBSAS扩展口</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支持硬盘交错/分时启动，节省功耗。</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配备独立元数据系统、支持元数据系统组成RAID和网络RAID（N+M配置，且M≥8），一组RAID故障时其业务可自动切换至其他网络RAID组</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网络raid纠删码技术，多台存储设备组建网络RAID，设置为负载均衡；单台或多台存储设备组建网络RAID，允许每组RAID中任意任意1-12个磁盘发生故障，数据不丢失，存储服务不中断。（须在公安部检测报告中体现，并加盖厂商公章）</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支持视音频、图片、智能数据流进行混合直存，无须存储服务器和图片服务器的参与，平台服务器宕机时，存储业务正常；</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 xml:space="preserve">支持国际GB/T 28181和Onvif视频流直存模式；支持iSCSI直存功能，前端网络摄像机和设备之间可直接通过iSCSI协议进行块存储； </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网络中断后重新恢复，可续存断网期间存储在前端设备中的录像文件，并可通过IE浏览器设置自动回传和手动回传；支持256路4Mbps的录像回传。</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应能接入并存储3072Mbps视频图像，同时转发3072Mbps的视频图像，同时下载3072Mbps的视频图像；同时回放600Mbps的视频图像；在转发模式下，可进行4096路2Mbps视频码流转发；在总带宽不变的情况下，接入、转发、回放间的性能值可自由调整。（须在公安部检测报告中体现，并加盖厂商公章）</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支持不低于1536Mbps图片转发；支持不低于1536Mbps图片并发输入，同时不低于1536Mbps图片并发输出）</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 ONVIF、PSIA、TCP/IP、UDP、SIP、SIP2.0、RTSP、RTP、RTCP、iSCSI、CIFS(SMB)、NFS、FTP、HTTP、AFP、RSYNC、SNMP、IPV4、IPV6、HLS、ehome、ISAPI、S3、OSS等协议</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▲支持红灯/蓝灯报警，可根据故障紧急程度分级报警，不同级别闪烁不同颜色保养灯，保养灯闪烁时长、频率可设（须在公安部检测报告中体现，并加盖厂商公章）</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当开启智能录像时，设备可根据前端接入路数、存储周期、码率等参数，自动选择N+M冗余级别较高的数据保护方式。</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可在操作界面查看数据重构状态，设备的磁盘或节点离线并重新插回后，可在界面显示离线磁盘或节点的数据重构过程，离线前数据不丢失</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最大可支持1024路抓拍机。支持对抓拍机进行添加、修改、删除、 布防、撤防，支持对抓拍机实时预览。</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当侦测到人脸时，可进行人脸大图、小图抓拍、视频录像，并触发报警联动录像、抓拍图片、弹出报警画面、发送语音提示、上传中心、蜂鸣报警以及日志</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当侦测到人体时，可进行人体抠图和人脸抓拍图，并触发报警联动录像、抓拍图片、弹出报警画面、发送语音提示、上传中心、蜂鸣报警以及日志</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 xml:space="preserve">可对视音频、图片、结构化数据、对象等文件进行混合存储，并可通过http和https方式下载 </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查看硬盘体检报告、硬盘深度体检和磁盘档案；支持下载单个硬盘或批量硬盘的报告，支持按时间显示硬盘的坏扇区、温度、振动变化趋势的曲线图；支持硬盘体检报告打印输出；支持查看硬盘体检的历史记录、硬盘健康状态，包括健康、亚健康、故障等；</w:t>
            </w:r>
          </w:p>
          <w:p>
            <w:pPr>
              <w:pStyle w:val="192"/>
              <w:numPr>
                <w:ilvl w:val="0"/>
                <w:numId w:val="36"/>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▲产品应具备CQC节能认证证书。</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kern w:val="0"/>
                <w:sz w:val="20"/>
                <w:szCs w:val="20"/>
                <w:highlight w:val="none"/>
                <w:lang w:bidi="ar"/>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kern w:val="0"/>
                <w:sz w:val="20"/>
                <w:szCs w:val="20"/>
                <w:highlight w:val="none"/>
                <w:lang w:bidi="ar"/>
              </w:rPr>
            </w:pPr>
            <w:r>
              <w:rPr>
                <w:rFonts w:hint="eastAsia" w:ascii="宋体" w:hAnsi="宋体" w:cs="宋体"/>
                <w:color w:val="000000" w:themeColor="text1"/>
                <w:kern w:val="0"/>
                <w:sz w:val="20"/>
                <w:szCs w:val="20"/>
                <w:highlight w:val="none"/>
                <w:lang w:bidi="ar"/>
              </w:rPr>
              <w:t>65</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存储专用硬盘</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8T,7200RPM,3.5 寸,SATA</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48</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kern w:val="0"/>
                <w:sz w:val="20"/>
                <w:szCs w:val="20"/>
                <w:highlight w:val="none"/>
                <w:lang w:bidi="ar"/>
              </w:rPr>
            </w:pPr>
            <w:r>
              <w:rPr>
                <w:rFonts w:hint="eastAsia" w:ascii="宋体" w:hAnsi="宋体" w:cs="宋体"/>
                <w:color w:val="000000" w:themeColor="text1"/>
                <w:kern w:val="0"/>
                <w:sz w:val="20"/>
                <w:szCs w:val="20"/>
                <w:highlight w:val="none"/>
                <w:lang w:bidi="ar"/>
              </w:rPr>
              <w:t>块</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kern w:val="0"/>
                <w:sz w:val="20"/>
                <w:szCs w:val="20"/>
                <w:highlight w:val="none"/>
                <w:lang w:bidi="ar"/>
              </w:rPr>
              <w:t>66</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核心交换机</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numPr>
                <w:ilvl w:val="0"/>
                <w:numId w:val="3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可用千兆电接口数量≥24，复用的千兆光口数量≥8，非复用万兆光接口数量≥4，支持1个扩展槽位，支持40G（QSFP+）端口</w:t>
            </w:r>
          </w:p>
          <w:p>
            <w:pPr>
              <w:pStyle w:val="192"/>
              <w:numPr>
                <w:ilvl w:val="0"/>
                <w:numId w:val="3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支持独立的console管理串口，≥1个带外管理口</w:t>
            </w:r>
          </w:p>
          <w:p>
            <w:pPr>
              <w:pStyle w:val="192"/>
              <w:numPr>
                <w:ilvl w:val="0"/>
                <w:numId w:val="3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支持模块化电源数量≥2，模块化风扇数量≥2（本次配置电源数量=1,风扇数量=2）</w:t>
            </w:r>
          </w:p>
          <w:p>
            <w:pPr>
              <w:pStyle w:val="192"/>
              <w:numPr>
                <w:ilvl w:val="0"/>
                <w:numId w:val="3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交换容量：756Gbps/7.56Tbps</w:t>
            </w:r>
          </w:p>
          <w:p>
            <w:pPr>
              <w:pStyle w:val="192"/>
              <w:numPr>
                <w:ilvl w:val="0"/>
                <w:numId w:val="3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转发性能：222Mpps/396Mpps</w:t>
            </w:r>
          </w:p>
          <w:p>
            <w:pPr>
              <w:pStyle w:val="192"/>
              <w:numPr>
                <w:ilvl w:val="0"/>
                <w:numId w:val="3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内存容量≥2048Mbytes，端口平均转发时延≤3us</w:t>
            </w:r>
          </w:p>
          <w:p>
            <w:pPr>
              <w:pStyle w:val="192"/>
              <w:numPr>
                <w:ilvl w:val="0"/>
                <w:numId w:val="3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MAC地址表≥64K，ARP表≥32K，端口MAC地址缓存能力≥2048个</w:t>
            </w:r>
          </w:p>
          <w:p>
            <w:pPr>
              <w:pStyle w:val="192"/>
              <w:numPr>
                <w:ilvl w:val="0"/>
                <w:numId w:val="3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支持802.3az（EEE）能效以太网标准</w:t>
            </w:r>
          </w:p>
          <w:p>
            <w:pPr>
              <w:pStyle w:val="192"/>
              <w:numPr>
                <w:ilvl w:val="0"/>
                <w:numId w:val="3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支持4094个VLAN功能</w:t>
            </w:r>
          </w:p>
          <w:p>
            <w:pPr>
              <w:pStyle w:val="192"/>
              <w:numPr>
                <w:ilvl w:val="0"/>
                <w:numId w:val="3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支持STP/RSTP/MSTP/PVST，支持ERPS/RRPP/smartlink并且收敛时间均在50ms之内</w:t>
            </w:r>
          </w:p>
          <w:p>
            <w:pPr>
              <w:pStyle w:val="192"/>
              <w:numPr>
                <w:ilvl w:val="0"/>
                <w:numId w:val="3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支持IPv4/IPv6组播功能，支持IPv4 IGMP snooping、IPv6 MLD snooping功能</w:t>
            </w:r>
          </w:p>
          <w:p>
            <w:pPr>
              <w:pStyle w:val="192"/>
              <w:numPr>
                <w:ilvl w:val="0"/>
                <w:numId w:val="3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支持802.1X、Portal、Triple认证功能</w:t>
            </w:r>
          </w:p>
          <w:p>
            <w:pPr>
              <w:pStyle w:val="192"/>
              <w:numPr>
                <w:ilvl w:val="0"/>
                <w:numId w:val="3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支持DHCP snooping、DHCPv6 snooping、DHCP Relay、DHCPv6 Relay、DHCP server、DHCPv6 server、SAVI功能</w:t>
            </w:r>
          </w:p>
          <w:p>
            <w:pPr>
              <w:pStyle w:val="192"/>
              <w:numPr>
                <w:ilvl w:val="0"/>
                <w:numId w:val="3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支持RIP、OSPF、BGP、IS-IS协议，支持RIPng、OSPFv3、BGP4+、IS-ISv6协议，支持IPv4/IPv6策略路由</w:t>
            </w:r>
          </w:p>
          <w:p>
            <w:pPr>
              <w:pStyle w:val="192"/>
              <w:numPr>
                <w:ilvl w:val="0"/>
                <w:numId w:val="3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支持OSPFv2 FRR功能，并且10000条路由收敛时间在50ms之内</w:t>
            </w:r>
          </w:p>
          <w:p>
            <w:pPr>
              <w:pStyle w:val="192"/>
              <w:numPr>
                <w:ilvl w:val="0"/>
                <w:numId w:val="3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支持虚拟化本地负载分担、虚拟化单点管理功能、9台设备堆叠、虚拟化堆叠链路冗余保护收敛时间小于50ms</w:t>
            </w:r>
          </w:p>
          <w:p>
            <w:pPr>
              <w:pStyle w:val="192"/>
              <w:numPr>
                <w:ilvl w:val="0"/>
                <w:numId w:val="3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支持链路聚合功能及聚合零丢包功能</w:t>
            </w:r>
          </w:p>
          <w:p>
            <w:pPr>
              <w:pStyle w:val="192"/>
              <w:numPr>
                <w:ilvl w:val="0"/>
                <w:numId w:val="3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支持BFD for VRRP，BFD for IPv4路由，BFD for IPv6路由，策略路由，等价路由</w:t>
            </w:r>
          </w:p>
          <w:p>
            <w:pPr>
              <w:pStyle w:val="192"/>
              <w:numPr>
                <w:ilvl w:val="0"/>
                <w:numId w:val="37"/>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支持Vxlan二层互通、Vxlan集中式网关三层互通、EVPN分布式网关二三层互通功能</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kern w:val="0"/>
                <w:sz w:val="20"/>
                <w:szCs w:val="20"/>
                <w:highlight w:val="none"/>
                <w:lang w:bidi="ar"/>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kern w:val="0"/>
                <w:sz w:val="20"/>
                <w:szCs w:val="20"/>
                <w:highlight w:val="none"/>
                <w:lang w:bidi="ar"/>
              </w:rPr>
              <w:t>67</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42U服务器机柜</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numPr>
                <w:ilvl w:val="0"/>
                <w:numId w:val="3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承重：静态1000KG</w:t>
            </w:r>
          </w:p>
          <w:p>
            <w:pPr>
              <w:pStyle w:val="192"/>
              <w:numPr>
                <w:ilvl w:val="0"/>
                <w:numId w:val="3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前后门材质：前单开网孔门，后双开网孔门，冷轧板 T=1.5</w:t>
            </w:r>
          </w:p>
          <w:p>
            <w:pPr>
              <w:pStyle w:val="192"/>
              <w:numPr>
                <w:ilvl w:val="0"/>
                <w:numId w:val="3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门敞开百分比：前门78%，后门77.2%</w:t>
            </w:r>
          </w:p>
          <w:p>
            <w:pPr>
              <w:pStyle w:val="192"/>
              <w:numPr>
                <w:ilvl w:val="0"/>
                <w:numId w:val="3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侧门材质：冷轧板 T=1.0</w:t>
            </w:r>
          </w:p>
          <w:p>
            <w:pPr>
              <w:pStyle w:val="192"/>
              <w:numPr>
                <w:ilvl w:val="0"/>
                <w:numId w:val="3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门框左右立柱材质：冷轧板 T=2.0</w:t>
            </w:r>
          </w:p>
          <w:p>
            <w:pPr>
              <w:pStyle w:val="192"/>
              <w:numPr>
                <w:ilvl w:val="0"/>
                <w:numId w:val="3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左右支架：冷轧板 T=1.5</w:t>
            </w:r>
          </w:p>
          <w:p>
            <w:pPr>
              <w:pStyle w:val="192"/>
              <w:numPr>
                <w:ilvl w:val="0"/>
                <w:numId w:val="3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横梁：冷轧板 T=1.5</w:t>
            </w:r>
          </w:p>
          <w:p>
            <w:pPr>
              <w:pStyle w:val="192"/>
              <w:numPr>
                <w:ilvl w:val="0"/>
                <w:numId w:val="3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层板：1个，宽470*深750*高48mm，承重60KG</w:t>
            </w:r>
          </w:p>
          <w:p>
            <w:pPr>
              <w:pStyle w:val="192"/>
              <w:numPr>
                <w:ilvl w:val="0"/>
                <w:numId w:val="3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L型隔条/支架：1对，长750*宽38*高38mm，承重30KG</w:t>
            </w:r>
          </w:p>
          <w:p>
            <w:pPr>
              <w:pStyle w:val="192"/>
              <w:numPr>
                <w:ilvl w:val="0"/>
                <w:numId w:val="3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PDU：1个，8口PDU，输入10A，带2M线</w:t>
            </w:r>
          </w:p>
          <w:p>
            <w:pPr>
              <w:pStyle w:val="192"/>
              <w:numPr>
                <w:ilvl w:val="0"/>
                <w:numId w:val="3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滚轮：支持，4个</w:t>
            </w:r>
          </w:p>
          <w:p>
            <w:pPr>
              <w:pStyle w:val="192"/>
              <w:numPr>
                <w:ilvl w:val="0"/>
                <w:numId w:val="3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脚撑：支持，4个</w:t>
            </w:r>
          </w:p>
          <w:p>
            <w:pPr>
              <w:pStyle w:val="192"/>
              <w:numPr>
                <w:ilvl w:val="0"/>
                <w:numId w:val="38"/>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净重：约140KG</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kern w:val="0"/>
                <w:sz w:val="20"/>
                <w:szCs w:val="20"/>
                <w:highlight w:val="none"/>
                <w:lang w:bidi="ar"/>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kern w:val="0"/>
                <w:sz w:val="20"/>
                <w:szCs w:val="20"/>
                <w:highlight w:val="none"/>
                <w:lang w:bidi="ar"/>
              </w:rPr>
            </w:pPr>
            <w:r>
              <w:rPr>
                <w:rFonts w:hint="eastAsia" w:ascii="宋体" w:hAnsi="宋体" w:cs="宋体"/>
                <w:color w:val="000000" w:themeColor="text1"/>
                <w:kern w:val="0"/>
                <w:sz w:val="20"/>
                <w:szCs w:val="20"/>
                <w:highlight w:val="none"/>
                <w:lang w:bidi="ar"/>
              </w:rPr>
              <w:t>68</w:t>
            </w:r>
          </w:p>
        </w:tc>
        <w:tc>
          <w:tcPr>
            <w:tcW w:w="140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监视器</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192"/>
              <w:numPr>
                <w:ilvl w:val="0"/>
                <w:numId w:val="3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 xml:space="preserve">显示尺寸: 21.5 英寸 </w:t>
            </w:r>
          </w:p>
          <w:p>
            <w:pPr>
              <w:pStyle w:val="192"/>
              <w:numPr>
                <w:ilvl w:val="0"/>
                <w:numId w:val="3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 xml:space="preserve">物理分辨率: 1920 × 1080 @60 Hz </w:t>
            </w:r>
          </w:p>
          <w:p>
            <w:pPr>
              <w:pStyle w:val="192"/>
              <w:numPr>
                <w:ilvl w:val="0"/>
                <w:numId w:val="3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 xml:space="preserve">背光源类型：E-LED </w:t>
            </w:r>
          </w:p>
          <w:p>
            <w:pPr>
              <w:pStyle w:val="192"/>
              <w:numPr>
                <w:ilvl w:val="0"/>
                <w:numId w:val="3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 xml:space="preserve">亮度：250 cd/c ㎡ </w:t>
            </w:r>
          </w:p>
          <w:p>
            <w:pPr>
              <w:pStyle w:val="192"/>
              <w:numPr>
                <w:ilvl w:val="0"/>
                <w:numId w:val="3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 xml:space="preserve">可视角: 178° / 178° </w:t>
            </w:r>
          </w:p>
          <w:p>
            <w:pPr>
              <w:pStyle w:val="192"/>
              <w:numPr>
                <w:ilvl w:val="0"/>
                <w:numId w:val="3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对比度：3000 : 1</w:t>
            </w:r>
          </w:p>
          <w:p>
            <w:pPr>
              <w:pStyle w:val="192"/>
              <w:numPr>
                <w:ilvl w:val="0"/>
                <w:numId w:val="3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响应时间：6.5 ms (typ)</w:t>
            </w:r>
          </w:p>
          <w:p>
            <w:pPr>
              <w:pStyle w:val="192"/>
              <w:numPr>
                <w:ilvl w:val="0"/>
                <w:numId w:val="3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刷新率：60 Hz</w:t>
            </w:r>
          </w:p>
          <w:p>
            <w:pPr>
              <w:pStyle w:val="192"/>
              <w:numPr>
                <w:ilvl w:val="0"/>
                <w:numId w:val="3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色域：72% NTSC</w:t>
            </w:r>
          </w:p>
          <w:p>
            <w:pPr>
              <w:pStyle w:val="192"/>
              <w:numPr>
                <w:ilvl w:val="0"/>
                <w:numId w:val="3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 xml:space="preserve">接口参数：HDMI × 1 , VGA × 1 </w:t>
            </w:r>
          </w:p>
          <w:p>
            <w:pPr>
              <w:pStyle w:val="192"/>
              <w:numPr>
                <w:ilvl w:val="0"/>
                <w:numId w:val="39"/>
              </w:numPr>
              <w:ind w:firstLineChars="0"/>
              <w:jc w:val="left"/>
              <w:rPr>
                <w:rFonts w:hint="eastAsia" w:ascii="宋体" w:hAnsi="宋体" w:eastAsia="宋体" w:cs="宋体"/>
                <w:color w:val="000000" w:themeColor="text1"/>
                <w:sz w:val="20"/>
                <w:szCs w:val="20"/>
                <w:highlight w:val="none"/>
              </w:rPr>
            </w:pPr>
            <w:r>
              <w:rPr>
                <w:rFonts w:hint="eastAsia" w:ascii="宋体" w:hAnsi="宋体" w:eastAsia="宋体" w:cs="宋体"/>
                <w:color w:val="000000" w:themeColor="text1"/>
                <w:sz w:val="20"/>
                <w:szCs w:val="20"/>
                <w:highlight w:val="none"/>
              </w:rPr>
              <w:t>电源参数： 12 VDC 功耗</w:t>
            </w:r>
          </w:p>
        </w:tc>
        <w:tc>
          <w:tcPr>
            <w:tcW w:w="93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color w:val="000000" w:themeColor="text1"/>
                <w:kern w:val="0"/>
                <w:sz w:val="20"/>
                <w:szCs w:val="20"/>
                <w:highlight w:val="none"/>
                <w:lang w:bidi="ar"/>
              </w:rPr>
            </w:pPr>
            <w:r>
              <w:rPr>
                <w:rFonts w:hint="eastAsia" w:ascii="宋体" w:hAnsi="宋体" w:cs="宋体"/>
                <w:color w:val="000000" w:themeColor="text1"/>
                <w:kern w:val="0"/>
                <w:sz w:val="20"/>
                <w:szCs w:val="20"/>
                <w:highlight w:val="none"/>
                <w:lang w:bidi="ar"/>
              </w:rPr>
              <w:t>台</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69</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cs="宋体"/>
                <w:color w:val="000000" w:themeColor="text1"/>
                <w:sz w:val="20"/>
                <w:szCs w:val="20"/>
                <w:highlight w:val="none"/>
              </w:rPr>
              <w:t>双绞线缆 UTP-CAT6</w:t>
            </w:r>
          </w:p>
        </w:tc>
        <w:tc>
          <w:tcPr>
            <w:tcW w:w="6043"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六类四对非屏蔽双绞线 24AWG， CM 阻燃等级,蓝色</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6100</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m</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default" w:ascii="宋体" w:hAnsi="宋体" w:eastAsia="宋体" w:cs="宋体"/>
                <w:color w:val="000000" w:themeColor="text1"/>
                <w:sz w:val="20"/>
                <w:szCs w:val="20"/>
                <w:highlight w:val="none"/>
                <w:lang w:val="en-US" w:eastAsia="zh-CN"/>
              </w:rPr>
            </w:pPr>
            <w:r>
              <w:rPr>
                <w:rFonts w:hint="eastAsia" w:ascii="宋体" w:hAnsi="宋体" w:cs="宋体"/>
                <w:color w:val="000000" w:themeColor="text1"/>
                <w:sz w:val="20"/>
                <w:szCs w:val="20"/>
                <w:highlight w:val="none"/>
                <w:lang w:val="en-US" w:eastAsia="zh-CN"/>
              </w:rPr>
              <w:t>70</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color w:val="000000" w:themeColor="text1"/>
                <w:sz w:val="20"/>
                <w:szCs w:val="20"/>
                <w:highlight w:val="none"/>
              </w:rPr>
            </w:pPr>
            <w:r>
              <w:rPr>
                <w:rFonts w:hint="eastAsia" w:ascii="宋体" w:hAnsi="宋体" w:eastAsia="宋体" w:cs="宋体"/>
                <w:i w:val="0"/>
                <w:iCs w:val="0"/>
                <w:color w:val="000000" w:themeColor="text1"/>
                <w:kern w:val="0"/>
                <w:sz w:val="20"/>
                <w:szCs w:val="20"/>
                <w:highlight w:val="none"/>
                <w:u w:val="none"/>
                <w:lang w:val="en-US" w:eastAsia="zh-CN" w:bidi="ar"/>
              </w:rPr>
              <w:t>防毒面具</w:t>
            </w:r>
          </w:p>
        </w:tc>
        <w:tc>
          <w:tcPr>
            <w:tcW w:w="60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cs="宋体"/>
                <w:color w:val="000000" w:themeColor="text1"/>
                <w:sz w:val="20"/>
                <w:szCs w:val="20"/>
                <w:highlight w:val="none"/>
              </w:rPr>
            </w:pPr>
            <w:r>
              <w:rPr>
                <w:rFonts w:hint="eastAsia" w:ascii="宋体" w:hAnsi="宋体" w:eastAsia="宋体" w:cs="宋体"/>
                <w:i w:val="0"/>
                <w:iCs w:val="0"/>
                <w:color w:val="000000" w:themeColor="text1"/>
                <w:kern w:val="0"/>
                <w:sz w:val="20"/>
                <w:szCs w:val="20"/>
                <w:highlight w:val="none"/>
                <w:u w:val="none"/>
                <w:lang w:val="en-US" w:eastAsia="zh-CN" w:bidi="ar"/>
              </w:rPr>
              <w:t>1.灭火器具安装 防毒面具安装</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color w:val="000000" w:themeColor="text1"/>
                <w:sz w:val="20"/>
                <w:szCs w:val="20"/>
                <w:highlight w:val="none"/>
              </w:rPr>
            </w:pPr>
            <w:r>
              <w:rPr>
                <w:rFonts w:hint="eastAsia" w:ascii="宋体" w:hAnsi="宋体" w:eastAsia="宋体" w:cs="宋体"/>
                <w:i w:val="0"/>
                <w:iCs w:val="0"/>
                <w:color w:val="000000" w:themeColor="text1"/>
                <w:kern w:val="0"/>
                <w:sz w:val="20"/>
                <w:szCs w:val="20"/>
                <w:highlight w:val="none"/>
                <w:u w:val="none"/>
                <w:lang w:val="en-US" w:eastAsia="zh-CN" w:bidi="ar"/>
              </w:rPr>
              <w:t>2</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color w:val="000000" w:themeColor="text1"/>
                <w:sz w:val="20"/>
                <w:szCs w:val="20"/>
                <w:highlight w:val="none"/>
              </w:rPr>
            </w:pPr>
            <w:r>
              <w:rPr>
                <w:rFonts w:hint="eastAsia" w:ascii="宋体" w:hAnsi="宋体" w:eastAsia="宋体" w:cs="宋体"/>
                <w:i w:val="0"/>
                <w:iCs w:val="0"/>
                <w:color w:val="000000" w:themeColor="text1"/>
                <w:kern w:val="0"/>
                <w:sz w:val="20"/>
                <w:szCs w:val="20"/>
                <w:highlight w:val="none"/>
                <w:u w:val="none"/>
                <w:lang w:val="en-US" w:eastAsia="zh-CN" w:bidi="ar"/>
              </w:rPr>
              <w:t>套</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default" w:ascii="宋体" w:hAnsi="宋体" w:eastAsia="宋体" w:cs="宋体"/>
                <w:color w:val="000000" w:themeColor="text1"/>
                <w:sz w:val="20"/>
                <w:szCs w:val="20"/>
                <w:highlight w:val="none"/>
                <w:lang w:val="en-US" w:eastAsia="zh-CN"/>
              </w:rPr>
            </w:pPr>
            <w:r>
              <w:rPr>
                <w:rFonts w:hint="eastAsia" w:ascii="宋体" w:hAnsi="宋体" w:cs="宋体"/>
                <w:color w:val="000000" w:themeColor="text1"/>
                <w:sz w:val="20"/>
                <w:szCs w:val="20"/>
                <w:highlight w:val="none"/>
                <w:lang w:val="en-US" w:eastAsia="zh-CN"/>
              </w:rPr>
              <w:t>71</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color w:val="000000" w:themeColor="text1"/>
                <w:sz w:val="20"/>
                <w:szCs w:val="20"/>
                <w:highlight w:val="none"/>
              </w:rPr>
            </w:pPr>
            <w:r>
              <w:rPr>
                <w:rFonts w:hint="eastAsia" w:ascii="宋体" w:hAnsi="宋体" w:eastAsia="宋体" w:cs="宋体"/>
                <w:i w:val="0"/>
                <w:iCs w:val="0"/>
                <w:color w:val="000000" w:themeColor="text1"/>
                <w:kern w:val="0"/>
                <w:sz w:val="20"/>
                <w:szCs w:val="20"/>
                <w:highlight w:val="none"/>
                <w:u w:val="none"/>
                <w:lang w:val="en-US" w:eastAsia="zh-CN" w:bidi="ar"/>
              </w:rPr>
              <w:t>手提式二氧化碳灭火器</w:t>
            </w:r>
          </w:p>
        </w:tc>
        <w:tc>
          <w:tcPr>
            <w:tcW w:w="60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cs="宋体"/>
                <w:color w:val="000000" w:themeColor="text1"/>
                <w:sz w:val="20"/>
                <w:szCs w:val="20"/>
                <w:highlight w:val="none"/>
              </w:rPr>
            </w:pPr>
            <w:r>
              <w:rPr>
                <w:rFonts w:hint="eastAsia" w:ascii="宋体" w:hAnsi="宋体" w:eastAsia="宋体" w:cs="宋体"/>
                <w:i w:val="0"/>
                <w:iCs w:val="0"/>
                <w:color w:val="000000" w:themeColor="text1"/>
                <w:kern w:val="0"/>
                <w:sz w:val="20"/>
                <w:szCs w:val="20"/>
                <w:highlight w:val="none"/>
                <w:u w:val="none"/>
                <w:lang w:val="en-US" w:eastAsia="zh-CN" w:bidi="ar"/>
              </w:rPr>
              <w:t>1.灭火器具安装 灭火器安装 放置式</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color w:val="000000" w:themeColor="text1"/>
                <w:sz w:val="20"/>
                <w:szCs w:val="20"/>
                <w:highlight w:val="none"/>
              </w:rPr>
            </w:pPr>
            <w:r>
              <w:rPr>
                <w:rFonts w:hint="eastAsia" w:ascii="宋体" w:hAnsi="宋体" w:eastAsia="宋体" w:cs="宋体"/>
                <w:i w:val="0"/>
                <w:iCs w:val="0"/>
                <w:color w:val="000000" w:themeColor="text1"/>
                <w:kern w:val="0"/>
                <w:sz w:val="20"/>
                <w:szCs w:val="20"/>
                <w:highlight w:val="none"/>
                <w:u w:val="none"/>
                <w:lang w:val="en-US" w:eastAsia="zh-CN" w:bidi="ar"/>
              </w:rPr>
              <w:t>2</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color w:val="000000" w:themeColor="text1"/>
                <w:sz w:val="20"/>
                <w:szCs w:val="20"/>
                <w:highlight w:val="none"/>
              </w:rPr>
            </w:pPr>
            <w:r>
              <w:rPr>
                <w:rFonts w:hint="eastAsia" w:ascii="宋体" w:hAnsi="宋体" w:eastAsia="宋体" w:cs="宋体"/>
                <w:i w:val="0"/>
                <w:iCs w:val="0"/>
                <w:color w:val="000000" w:themeColor="text1"/>
                <w:kern w:val="0"/>
                <w:sz w:val="20"/>
                <w:szCs w:val="20"/>
                <w:highlight w:val="none"/>
                <w:u w:val="none"/>
                <w:lang w:val="en-US" w:eastAsia="zh-CN" w:bidi="ar"/>
              </w:rPr>
              <w:t>具</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default" w:ascii="宋体" w:hAnsi="宋体" w:eastAsia="宋体" w:cs="宋体"/>
                <w:color w:val="000000" w:themeColor="text1"/>
                <w:sz w:val="20"/>
                <w:szCs w:val="20"/>
                <w:highlight w:val="none"/>
                <w:lang w:val="en-US" w:eastAsia="zh-CN"/>
              </w:rPr>
            </w:pPr>
            <w:r>
              <w:rPr>
                <w:rFonts w:hint="eastAsia" w:ascii="宋体" w:hAnsi="宋体" w:cs="宋体"/>
                <w:color w:val="000000" w:themeColor="text1"/>
                <w:sz w:val="20"/>
                <w:szCs w:val="20"/>
                <w:highlight w:val="none"/>
                <w:lang w:val="en-US" w:eastAsia="zh-CN"/>
              </w:rPr>
              <w:t>72</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color w:val="000000" w:themeColor="text1"/>
                <w:sz w:val="20"/>
                <w:szCs w:val="20"/>
                <w:highlight w:val="none"/>
              </w:rPr>
            </w:pPr>
            <w:r>
              <w:rPr>
                <w:rFonts w:hint="eastAsia" w:ascii="宋体" w:hAnsi="宋体" w:eastAsia="宋体" w:cs="宋体"/>
                <w:i w:val="0"/>
                <w:iCs w:val="0"/>
                <w:color w:val="000000" w:themeColor="text1"/>
                <w:kern w:val="0"/>
                <w:sz w:val="20"/>
                <w:szCs w:val="20"/>
                <w:highlight w:val="none"/>
                <w:u w:val="none"/>
                <w:lang w:val="en-US" w:eastAsia="zh-CN" w:bidi="ar"/>
              </w:rPr>
              <w:t>灭火器箱体</w:t>
            </w:r>
          </w:p>
        </w:tc>
        <w:tc>
          <w:tcPr>
            <w:tcW w:w="60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cs="宋体"/>
                <w:color w:val="000000" w:themeColor="text1"/>
                <w:sz w:val="20"/>
                <w:szCs w:val="20"/>
                <w:highlight w:val="none"/>
              </w:rPr>
            </w:pPr>
            <w:r>
              <w:rPr>
                <w:rFonts w:hint="eastAsia" w:ascii="宋体" w:hAnsi="宋体" w:eastAsia="宋体" w:cs="宋体"/>
                <w:i w:val="0"/>
                <w:iCs w:val="0"/>
                <w:color w:val="000000" w:themeColor="text1"/>
                <w:kern w:val="0"/>
                <w:sz w:val="20"/>
                <w:szCs w:val="20"/>
                <w:highlight w:val="none"/>
                <w:u w:val="none"/>
                <w:lang w:val="en-US" w:eastAsia="zh-CN" w:bidi="ar"/>
              </w:rPr>
              <w:t>1.灭火器具放置箱安装 放置式 箱体半周长(mm) ≤1000</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color w:val="000000" w:themeColor="text1"/>
                <w:sz w:val="20"/>
                <w:szCs w:val="20"/>
                <w:highlight w:val="none"/>
              </w:rPr>
            </w:pPr>
            <w:r>
              <w:rPr>
                <w:rFonts w:hint="eastAsia" w:ascii="宋体" w:hAnsi="宋体" w:eastAsia="宋体" w:cs="宋体"/>
                <w:i w:val="0"/>
                <w:iCs w:val="0"/>
                <w:color w:val="000000" w:themeColor="text1"/>
                <w:kern w:val="0"/>
                <w:sz w:val="20"/>
                <w:szCs w:val="20"/>
                <w:highlight w:val="none"/>
                <w:u w:val="none"/>
                <w:lang w:val="en-US" w:eastAsia="zh-CN" w:bidi="ar"/>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cs="宋体"/>
                <w:color w:val="000000" w:themeColor="text1"/>
                <w:sz w:val="20"/>
                <w:szCs w:val="20"/>
                <w:highlight w:val="none"/>
              </w:rPr>
            </w:pPr>
            <w:r>
              <w:rPr>
                <w:rFonts w:hint="eastAsia" w:ascii="宋体" w:hAnsi="宋体" w:eastAsia="宋体" w:cs="宋体"/>
                <w:i w:val="0"/>
                <w:iCs w:val="0"/>
                <w:color w:val="000000" w:themeColor="text1"/>
                <w:kern w:val="0"/>
                <w:sz w:val="20"/>
                <w:szCs w:val="20"/>
                <w:highlight w:val="none"/>
                <w:u w:val="none"/>
                <w:lang w:val="en-US" w:eastAsia="zh-CN" w:bidi="ar"/>
              </w:rPr>
              <w:t>具</w:t>
            </w:r>
          </w:p>
        </w:tc>
      </w:tr>
      <w:tr>
        <w:tblPrEx>
          <w:tblCellMar>
            <w:top w:w="0" w:type="dxa"/>
            <w:left w:w="108" w:type="dxa"/>
            <w:bottom w:w="0" w:type="dxa"/>
            <w:right w:w="108" w:type="dxa"/>
          </w:tblCellMar>
        </w:tblPrEx>
        <w:trPr>
          <w:trHeight w:val="400" w:hRule="atLeast"/>
          <w:jc w:val="center"/>
        </w:trPr>
        <w:tc>
          <w:tcPr>
            <w:tcW w:w="9887"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b/>
                <w:color w:val="000000" w:themeColor="text1"/>
                <w:sz w:val="20"/>
                <w:szCs w:val="20"/>
                <w:highlight w:val="none"/>
              </w:rPr>
            </w:pPr>
            <w:r>
              <w:rPr>
                <w:rFonts w:hint="eastAsia" w:ascii="宋体" w:hAnsi="宋体" w:cs="宋体"/>
                <w:b/>
                <w:color w:val="000000" w:themeColor="text1"/>
                <w:sz w:val="20"/>
                <w:szCs w:val="20"/>
                <w:highlight w:val="none"/>
              </w:rPr>
              <w:t>三、线路租赁部分</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default" w:ascii="宋体" w:hAnsi="宋体" w:eastAsia="宋体" w:cs="宋体"/>
                <w:color w:val="000000" w:themeColor="text1"/>
                <w:sz w:val="20"/>
                <w:szCs w:val="20"/>
                <w:highlight w:val="none"/>
                <w:lang w:val="en-US" w:eastAsia="zh-CN"/>
              </w:rPr>
            </w:pPr>
            <w:r>
              <w:rPr>
                <w:rFonts w:hint="eastAsia" w:ascii="宋体" w:hAnsi="宋体" w:cs="宋体"/>
                <w:color w:val="000000" w:themeColor="text1"/>
                <w:sz w:val="20"/>
                <w:szCs w:val="20"/>
                <w:highlight w:val="none"/>
                <w:lang w:val="en-US" w:eastAsia="zh-CN"/>
              </w:rPr>
              <w:t>73</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cs="宋体"/>
                <w:color w:val="000000" w:themeColor="text1"/>
                <w:kern w:val="0"/>
                <w:sz w:val="20"/>
                <w:szCs w:val="20"/>
                <w:highlight w:val="none"/>
              </w:rPr>
            </w:pPr>
            <w:r>
              <w:rPr>
                <w:rFonts w:hint="eastAsia" w:ascii="宋体" w:hAnsi="宋体" w:eastAsia="宋体" w:cs="宋体"/>
                <w:color w:val="000000" w:themeColor="text1"/>
                <w:kern w:val="2"/>
                <w:sz w:val="20"/>
                <w:szCs w:val="20"/>
                <w:highlight w:val="none"/>
                <w:lang w:val="en-US" w:eastAsia="zh-CN" w:bidi="ar-SA"/>
              </w:rPr>
              <w:t>63路50M视频专线网络链路租赁10年及取电电线BVV1.5mm2</w:t>
            </w:r>
          </w:p>
        </w:tc>
        <w:tc>
          <w:tcPr>
            <w:tcW w:w="6043" w:type="dxa"/>
            <w:tcBorders>
              <w:top w:val="single" w:color="000000" w:sz="4" w:space="0"/>
              <w:left w:val="single" w:color="000000" w:sz="4" w:space="0"/>
              <w:bottom w:val="single" w:color="000000" w:sz="4" w:space="0"/>
              <w:right w:val="single" w:color="000000" w:sz="4" w:space="0"/>
            </w:tcBorders>
            <w:noWrap/>
            <w:vAlign w:val="center"/>
          </w:tcPr>
          <w:p>
            <w:pPr>
              <w:pStyle w:val="46"/>
              <w:ind w:left="0" w:leftChars="0" w:firstLine="0" w:firstLineChars="0"/>
              <w:rPr>
                <w:rFonts w:hint="eastAsia" w:ascii="宋体" w:hAnsi="宋体" w:eastAsia="宋体" w:cs="宋体"/>
                <w:i w:val="0"/>
                <w:iCs w:val="0"/>
                <w:color w:val="000000" w:themeColor="text1"/>
                <w:kern w:val="0"/>
                <w:sz w:val="20"/>
                <w:szCs w:val="20"/>
                <w:highlight w:val="none"/>
                <w:u w:val="none"/>
                <w:lang w:val="en-US" w:eastAsia="zh-CN" w:bidi="ar"/>
              </w:rPr>
            </w:pPr>
            <w:r>
              <w:rPr>
                <w:rFonts w:hint="eastAsia" w:ascii="宋体" w:hAnsi="宋体" w:eastAsia="宋体" w:cs="宋体"/>
                <w:i w:val="0"/>
                <w:iCs w:val="0"/>
                <w:color w:val="000000" w:themeColor="text1"/>
                <w:kern w:val="0"/>
                <w:sz w:val="20"/>
                <w:szCs w:val="20"/>
                <w:highlight w:val="none"/>
                <w:u w:val="none"/>
                <w:lang w:val="en-US" w:eastAsia="zh-CN" w:bidi="ar"/>
              </w:rPr>
              <w:t>1.63路50M视频专线网络链路租赁10年</w:t>
            </w:r>
          </w:p>
          <w:p>
            <w:pPr>
              <w:pStyle w:val="46"/>
              <w:ind w:left="0" w:leftChars="0" w:firstLine="0" w:firstLineChars="0"/>
              <w:rPr>
                <w:rFonts w:hint="eastAsia" w:ascii="宋体" w:hAnsi="宋体" w:eastAsia="宋体" w:cs="宋体"/>
                <w:i w:val="0"/>
                <w:iCs w:val="0"/>
                <w:color w:val="000000" w:themeColor="text1"/>
                <w:kern w:val="0"/>
                <w:sz w:val="20"/>
                <w:szCs w:val="20"/>
                <w:highlight w:val="none"/>
                <w:u w:val="none"/>
                <w:lang w:val="en-US" w:eastAsia="zh-CN" w:bidi="ar"/>
              </w:rPr>
            </w:pPr>
            <w:r>
              <w:rPr>
                <w:rFonts w:hint="eastAsia" w:ascii="宋体" w:hAnsi="宋体" w:eastAsia="宋体" w:cs="宋体"/>
                <w:i w:val="0"/>
                <w:iCs w:val="0"/>
                <w:color w:val="000000" w:themeColor="text1"/>
                <w:kern w:val="0"/>
                <w:sz w:val="20"/>
                <w:szCs w:val="20"/>
                <w:highlight w:val="none"/>
                <w:u w:val="none"/>
                <w:lang w:val="en-US" w:eastAsia="zh-CN" w:bidi="ar"/>
              </w:rPr>
              <w:t>2.每路视频专线至少提供1个固定IP地址</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项</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themeColor="text1"/>
                <w:sz w:val="20"/>
                <w:szCs w:val="20"/>
                <w:highlight w:val="none"/>
                <w:lang w:eastAsia="zh-CN"/>
              </w:rPr>
            </w:pPr>
            <w:r>
              <w:rPr>
                <w:rFonts w:hint="eastAsia" w:ascii="宋体" w:hAnsi="宋体" w:cs="宋体"/>
                <w:color w:val="000000" w:themeColor="text1"/>
                <w:sz w:val="20"/>
                <w:szCs w:val="20"/>
                <w:highlight w:val="none"/>
              </w:rPr>
              <w:t>7</w:t>
            </w:r>
            <w:r>
              <w:rPr>
                <w:rFonts w:hint="eastAsia" w:ascii="宋体" w:hAnsi="宋体" w:cs="宋体"/>
                <w:color w:val="000000" w:themeColor="text1"/>
                <w:sz w:val="20"/>
                <w:szCs w:val="20"/>
                <w:highlight w:val="none"/>
                <w:lang w:val="en-US" w:eastAsia="zh-CN"/>
              </w:rPr>
              <w:t>4</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highlight w:val="none"/>
              </w:rPr>
              <w:t>1G</w:t>
            </w:r>
            <w:r>
              <w:rPr>
                <w:rFonts w:hint="eastAsia" w:ascii="宋体" w:hAnsi="宋体" w:cs="宋体"/>
                <w:color w:val="000000" w:themeColor="text1"/>
                <w:highlight w:val="none"/>
                <w:lang w:val="en-US" w:eastAsia="zh-CN"/>
              </w:rPr>
              <w:t>视频专线</w:t>
            </w:r>
            <w:r>
              <w:rPr>
                <w:rFonts w:hint="eastAsia" w:ascii="宋体" w:hAnsi="宋体" w:cs="宋体"/>
                <w:color w:val="000000" w:themeColor="text1"/>
                <w:highlight w:val="none"/>
              </w:rPr>
              <w:t>网络</w:t>
            </w:r>
            <w:r>
              <w:rPr>
                <w:rFonts w:hint="eastAsia" w:ascii="宋体" w:hAnsi="宋体" w:cs="宋体"/>
                <w:color w:val="000000" w:themeColor="text1"/>
                <w:highlight w:val="none"/>
                <w:lang w:val="en-US" w:eastAsia="zh-CN"/>
              </w:rPr>
              <w:t>链路</w:t>
            </w:r>
            <w:r>
              <w:rPr>
                <w:rFonts w:hint="eastAsia" w:ascii="宋体" w:hAnsi="宋体" w:cs="宋体"/>
                <w:color w:val="000000" w:themeColor="text1"/>
                <w:highlight w:val="none"/>
              </w:rPr>
              <w:t>租赁费10年</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pStyle w:val="46"/>
              <w:spacing w:after="0"/>
              <w:ind w:left="0" w:leftChars="0" w:firstLine="0" w:firstLineChars="0"/>
              <w:rPr>
                <w:rFonts w:hint="eastAsia" w:ascii="宋体" w:hAnsi="宋体" w:eastAsia="宋体" w:cs="宋体"/>
                <w:i w:val="0"/>
                <w:iCs w:val="0"/>
                <w:color w:val="000000" w:themeColor="text1"/>
                <w:kern w:val="0"/>
                <w:sz w:val="20"/>
                <w:szCs w:val="20"/>
                <w:highlight w:val="none"/>
                <w:u w:val="none"/>
                <w:lang w:val="en-US" w:eastAsia="zh-CN" w:bidi="ar"/>
              </w:rPr>
            </w:pPr>
            <w:r>
              <w:rPr>
                <w:rFonts w:hint="eastAsia" w:ascii="宋体" w:hAnsi="宋体" w:eastAsia="宋体" w:cs="宋体"/>
                <w:i w:val="0"/>
                <w:iCs w:val="0"/>
                <w:color w:val="000000" w:themeColor="text1"/>
                <w:kern w:val="0"/>
                <w:sz w:val="20"/>
                <w:szCs w:val="20"/>
                <w:highlight w:val="none"/>
                <w:u w:val="none"/>
                <w:lang w:val="en-US" w:eastAsia="zh-CN" w:bidi="ar"/>
              </w:rPr>
              <w:t>1.1G视频专线网络链路租赁费10年</w:t>
            </w:r>
          </w:p>
          <w:p>
            <w:pPr>
              <w:pStyle w:val="46"/>
              <w:ind w:left="0" w:leftChars="0" w:firstLine="0" w:firstLineChars="0"/>
              <w:jc w:val="left"/>
              <w:rPr>
                <w:rFonts w:hint="eastAsia" w:ascii="宋体" w:hAnsi="宋体" w:eastAsia="宋体" w:cs="宋体"/>
                <w:i w:val="0"/>
                <w:iCs w:val="0"/>
                <w:color w:val="000000" w:themeColor="text1"/>
                <w:kern w:val="0"/>
                <w:sz w:val="20"/>
                <w:szCs w:val="20"/>
                <w:highlight w:val="none"/>
                <w:u w:val="none"/>
                <w:lang w:val="en-US" w:eastAsia="zh-CN" w:bidi="ar"/>
              </w:rPr>
            </w:pPr>
            <w:r>
              <w:rPr>
                <w:rFonts w:hint="eastAsia" w:ascii="宋体" w:hAnsi="宋体" w:eastAsia="宋体" w:cs="宋体"/>
                <w:i w:val="0"/>
                <w:iCs w:val="0"/>
                <w:color w:val="000000" w:themeColor="text1"/>
                <w:kern w:val="0"/>
                <w:sz w:val="20"/>
                <w:szCs w:val="20"/>
                <w:highlight w:val="none"/>
                <w:u w:val="none"/>
                <w:lang w:val="en-US" w:eastAsia="zh-CN" w:bidi="ar"/>
              </w:rPr>
              <w:t>2.至少提供1个固定IP地址</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项</w:t>
            </w:r>
          </w:p>
        </w:tc>
      </w:tr>
      <w:tr>
        <w:tblPrEx>
          <w:tblCellMar>
            <w:top w:w="0" w:type="dxa"/>
            <w:left w:w="108" w:type="dxa"/>
            <w:bottom w:w="0" w:type="dxa"/>
            <w:right w:w="108" w:type="dxa"/>
          </w:tblCellMar>
        </w:tblPrEx>
        <w:trPr>
          <w:trHeight w:val="495" w:hRule="atLeast"/>
          <w:jc w:val="center"/>
        </w:trPr>
        <w:tc>
          <w:tcPr>
            <w:tcW w:w="9887"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b/>
                <w:color w:val="000000" w:themeColor="text1"/>
                <w:kern w:val="0"/>
                <w:sz w:val="20"/>
                <w:szCs w:val="20"/>
                <w:highlight w:val="none"/>
                <w:lang w:bidi="ar"/>
              </w:rPr>
            </w:pPr>
            <w:r>
              <w:rPr>
                <w:rFonts w:hint="eastAsia" w:ascii="宋体" w:hAnsi="宋体" w:cs="宋体"/>
                <w:b/>
                <w:color w:val="000000" w:themeColor="text1"/>
                <w:sz w:val="20"/>
                <w:szCs w:val="20"/>
                <w:highlight w:val="none"/>
              </w:rPr>
              <w:t>四、室外63条杆取电部分</w:t>
            </w:r>
            <w:r>
              <w:rPr>
                <w:rFonts w:hint="eastAsia" w:ascii="宋体" w:hAnsi="宋体" w:cs="宋体"/>
                <w:b/>
                <w:color w:val="000000" w:themeColor="text1"/>
                <w:sz w:val="20"/>
                <w:szCs w:val="20"/>
                <w:highlight w:val="none"/>
                <w:lang w:eastAsia="zh-CN"/>
              </w:rPr>
              <w:t>（</w:t>
            </w:r>
            <w:r>
              <w:rPr>
                <w:rFonts w:hint="eastAsia" w:ascii="宋体" w:hAnsi="宋体" w:cs="宋体"/>
                <w:b/>
                <w:color w:val="000000" w:themeColor="text1"/>
                <w:sz w:val="20"/>
                <w:szCs w:val="20"/>
                <w:highlight w:val="none"/>
                <w:lang w:val="en-US" w:eastAsia="zh-CN"/>
              </w:rPr>
              <w:t>不含电线）</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eastAsia="宋体" w:cs="宋体"/>
                <w:color w:val="000000" w:themeColor="text1"/>
                <w:kern w:val="0"/>
                <w:sz w:val="20"/>
                <w:szCs w:val="20"/>
                <w:highlight w:val="none"/>
                <w:lang w:eastAsia="zh-CN"/>
              </w:rPr>
            </w:pPr>
            <w:r>
              <w:rPr>
                <w:rFonts w:hint="eastAsia" w:ascii="宋体" w:hAnsi="宋体" w:cs="宋体"/>
                <w:color w:val="000000" w:themeColor="text1"/>
                <w:sz w:val="20"/>
                <w:szCs w:val="20"/>
                <w:highlight w:val="none"/>
              </w:rPr>
              <w:t>7</w:t>
            </w:r>
            <w:r>
              <w:rPr>
                <w:rFonts w:hint="eastAsia" w:ascii="宋体" w:hAnsi="宋体" w:cs="宋体"/>
                <w:color w:val="000000" w:themeColor="text1"/>
                <w:sz w:val="20"/>
                <w:szCs w:val="20"/>
                <w:highlight w:val="none"/>
                <w:lang w:val="en-US" w:eastAsia="zh-CN"/>
              </w:rPr>
              <w:t>5</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PVC配管 Ф25（埋地）</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1.刚性难燃线管埋地敷设 公称直径(mm以内) 25</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3199.50</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m</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themeColor="text1"/>
                <w:sz w:val="20"/>
                <w:szCs w:val="20"/>
                <w:highlight w:val="none"/>
                <w:lang w:eastAsia="zh-CN"/>
              </w:rPr>
            </w:pPr>
            <w:r>
              <w:rPr>
                <w:rFonts w:hint="eastAsia" w:ascii="宋体" w:hAnsi="宋体" w:cs="宋体"/>
                <w:color w:val="000000" w:themeColor="text1"/>
                <w:sz w:val="20"/>
                <w:szCs w:val="20"/>
                <w:highlight w:val="none"/>
              </w:rPr>
              <w:t>7</w:t>
            </w:r>
            <w:r>
              <w:rPr>
                <w:rFonts w:hint="eastAsia" w:ascii="宋体" w:hAnsi="宋体" w:cs="宋体"/>
                <w:color w:val="000000" w:themeColor="text1"/>
                <w:sz w:val="20"/>
                <w:szCs w:val="20"/>
                <w:highlight w:val="none"/>
                <w:lang w:val="en-US" w:eastAsia="zh-CN"/>
              </w:rPr>
              <w:t>6</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PVC配管 Ф25（引上或架空）</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1.刚性难燃线管，砖、混凝土结构明配 公称直径(mm以内) 25</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680.00</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m</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themeColor="text1"/>
                <w:sz w:val="20"/>
                <w:szCs w:val="20"/>
                <w:highlight w:val="none"/>
                <w:lang w:eastAsia="zh-CN"/>
              </w:rPr>
            </w:pPr>
            <w:r>
              <w:rPr>
                <w:rFonts w:hint="eastAsia" w:ascii="宋体" w:hAnsi="宋体" w:cs="宋体"/>
                <w:color w:val="000000" w:themeColor="text1"/>
                <w:sz w:val="20"/>
                <w:szCs w:val="20"/>
                <w:highlight w:val="none"/>
              </w:rPr>
              <w:t>7</w:t>
            </w:r>
            <w:r>
              <w:rPr>
                <w:rFonts w:hint="eastAsia" w:ascii="宋体" w:hAnsi="宋体" w:cs="宋体"/>
                <w:color w:val="000000" w:themeColor="text1"/>
                <w:sz w:val="20"/>
                <w:szCs w:val="20"/>
                <w:highlight w:val="none"/>
                <w:lang w:val="en-US" w:eastAsia="zh-CN"/>
              </w:rPr>
              <w:t>7</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角钢接地极</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1.接地极(板)制作、安装 角钢接地极 普通土</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60</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根</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themeColor="text1"/>
                <w:sz w:val="20"/>
                <w:szCs w:val="20"/>
                <w:highlight w:val="none"/>
                <w:lang w:eastAsia="zh-CN"/>
              </w:rPr>
            </w:pPr>
            <w:r>
              <w:rPr>
                <w:rFonts w:hint="eastAsia" w:ascii="宋体" w:hAnsi="宋体" w:cs="宋体"/>
                <w:color w:val="000000" w:themeColor="text1"/>
                <w:sz w:val="20"/>
                <w:szCs w:val="20"/>
                <w:highlight w:val="none"/>
              </w:rPr>
              <w:t>7</w:t>
            </w:r>
            <w:r>
              <w:rPr>
                <w:rFonts w:hint="eastAsia" w:ascii="宋体" w:hAnsi="宋体" w:cs="宋体"/>
                <w:color w:val="000000" w:themeColor="text1"/>
                <w:sz w:val="20"/>
                <w:szCs w:val="20"/>
                <w:highlight w:val="none"/>
                <w:lang w:val="en-US" w:eastAsia="zh-CN"/>
              </w:rPr>
              <w:t>8</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钉墙</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1.钉墙</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20</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m</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宋体" w:hAnsi="宋体" w:eastAsia="宋体" w:cs="宋体"/>
                <w:color w:val="000000" w:themeColor="text1"/>
                <w:kern w:val="0"/>
                <w:sz w:val="20"/>
                <w:szCs w:val="20"/>
                <w:highlight w:val="none"/>
                <w:lang w:eastAsia="zh-CN"/>
              </w:rPr>
            </w:pPr>
            <w:r>
              <w:rPr>
                <w:rFonts w:hint="eastAsia" w:ascii="宋体" w:hAnsi="宋体" w:cs="宋体"/>
                <w:color w:val="000000" w:themeColor="text1"/>
                <w:sz w:val="20"/>
                <w:szCs w:val="20"/>
                <w:highlight w:val="none"/>
              </w:rPr>
              <w:t>7</w:t>
            </w:r>
            <w:r>
              <w:rPr>
                <w:rFonts w:hint="eastAsia" w:ascii="宋体" w:hAnsi="宋体" w:cs="宋体"/>
                <w:color w:val="000000" w:themeColor="text1"/>
                <w:sz w:val="20"/>
                <w:szCs w:val="20"/>
                <w:highlight w:val="none"/>
                <w:lang w:val="en-US" w:eastAsia="zh-CN"/>
              </w:rPr>
              <w:t>9</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通信手孔井 800*800*1000mm</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新建手孔井</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3</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座</w:t>
            </w:r>
          </w:p>
        </w:tc>
      </w:tr>
      <w:tr>
        <w:tblPrEx>
          <w:tblCellMar>
            <w:top w:w="0" w:type="dxa"/>
            <w:left w:w="108" w:type="dxa"/>
            <w:bottom w:w="0" w:type="dxa"/>
            <w:right w:w="108" w:type="dxa"/>
          </w:tblCellMar>
        </w:tblPrEx>
        <w:trPr>
          <w:trHeight w:val="400" w:hRule="atLeast"/>
          <w:jc w:val="center"/>
        </w:trPr>
        <w:tc>
          <w:tcPr>
            <w:tcW w:w="9887"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themeColor="text1"/>
                <w:kern w:val="0"/>
                <w:sz w:val="20"/>
                <w:szCs w:val="20"/>
                <w:highlight w:val="none"/>
                <w:lang w:bidi="ar"/>
              </w:rPr>
            </w:pPr>
            <w:r>
              <w:rPr>
                <w:rFonts w:hint="eastAsia" w:ascii="宋体" w:hAnsi="宋体" w:cs="宋体"/>
                <w:color w:val="000000" w:themeColor="text1"/>
                <w:kern w:val="0"/>
                <w:sz w:val="20"/>
                <w:szCs w:val="20"/>
                <w:highlight w:val="none"/>
                <w:lang w:bidi="ar"/>
              </w:rPr>
              <w:t>路面破除修复</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default" w:ascii="宋体" w:hAnsi="宋体" w:eastAsia="宋体" w:cs="宋体"/>
                <w:color w:val="000000" w:themeColor="text1"/>
                <w:kern w:val="0"/>
                <w:sz w:val="20"/>
                <w:szCs w:val="20"/>
                <w:highlight w:val="none"/>
                <w:lang w:val="en-US" w:eastAsia="zh-CN"/>
              </w:rPr>
            </w:pPr>
            <w:r>
              <w:rPr>
                <w:rFonts w:hint="eastAsia" w:ascii="宋体" w:hAnsi="宋体" w:cs="宋体"/>
                <w:color w:val="000000" w:themeColor="text1"/>
                <w:sz w:val="20"/>
                <w:szCs w:val="20"/>
                <w:highlight w:val="none"/>
                <w:lang w:val="en-US" w:eastAsia="zh-CN"/>
              </w:rPr>
              <w:t>80</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开挖泥土路面</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1.人工挖沟槽土方 一、二类土 深度在2m内</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2398.28</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lang w:eastAsia="zh-CN"/>
              </w:rPr>
            </w:pPr>
            <w:r>
              <w:rPr>
                <w:rFonts w:hint="eastAsia" w:ascii="宋体" w:hAnsi="宋体" w:cs="宋体"/>
                <w:color w:val="000000" w:themeColor="text1"/>
                <w:sz w:val="20"/>
                <w:szCs w:val="20"/>
                <w:highlight w:val="none"/>
                <w:lang w:val="en-US" w:eastAsia="zh-CN"/>
              </w:rPr>
              <w:t>m³</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themeColor="text1"/>
                <w:sz w:val="20"/>
                <w:szCs w:val="20"/>
                <w:highlight w:val="none"/>
                <w:lang w:val="en-US" w:eastAsia="zh-CN"/>
              </w:rPr>
            </w:pPr>
            <w:r>
              <w:rPr>
                <w:rFonts w:hint="eastAsia" w:ascii="宋体" w:hAnsi="宋体" w:cs="宋体"/>
                <w:color w:val="000000" w:themeColor="text1"/>
                <w:sz w:val="20"/>
                <w:szCs w:val="20"/>
                <w:highlight w:val="none"/>
                <w:lang w:val="en-US" w:eastAsia="zh-CN"/>
              </w:rPr>
              <w:t>81</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开挖方砖路面</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1.拆除人行道 普通粘土砖 平铺</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424.50</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lang w:eastAsia="zh-CN"/>
              </w:rPr>
            </w:pPr>
            <w:r>
              <w:rPr>
                <w:rFonts w:hint="eastAsia" w:ascii="宋体" w:hAnsi="宋体" w:cs="宋体"/>
                <w:color w:val="000000" w:themeColor="text1"/>
                <w:sz w:val="20"/>
                <w:szCs w:val="20"/>
                <w:highlight w:val="none"/>
                <w:lang w:val="en-US" w:eastAsia="zh-CN"/>
              </w:rPr>
              <w:t>㎡</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themeColor="text1"/>
                <w:sz w:val="20"/>
                <w:szCs w:val="20"/>
                <w:highlight w:val="none"/>
                <w:lang w:val="en-US" w:eastAsia="zh-CN"/>
              </w:rPr>
            </w:pPr>
            <w:r>
              <w:rPr>
                <w:rFonts w:hint="eastAsia" w:ascii="宋体" w:hAnsi="宋体" w:cs="宋体"/>
                <w:color w:val="000000" w:themeColor="text1"/>
                <w:sz w:val="20"/>
                <w:szCs w:val="20"/>
                <w:highlight w:val="none"/>
                <w:lang w:val="en-US" w:eastAsia="zh-CN"/>
              </w:rPr>
              <w:t>82</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开挖水泥路面</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1.小型机械拆除混凝土类路面层 无筋 厚15cm内 实际厚度(cm):20</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2.自卸汽车运石方 运距1km 实际运距(km):10</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3.挖掘机挖装松散石方</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84.75</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lang w:val="en-US" w:eastAsia="zh-CN"/>
              </w:rPr>
              <w:t>㎡</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themeColor="text1"/>
                <w:sz w:val="20"/>
                <w:szCs w:val="20"/>
                <w:highlight w:val="none"/>
                <w:lang w:val="en-US" w:eastAsia="zh-CN"/>
              </w:rPr>
            </w:pPr>
            <w:r>
              <w:rPr>
                <w:rFonts w:hint="eastAsia" w:ascii="宋体" w:hAnsi="宋体" w:cs="宋体"/>
                <w:color w:val="000000" w:themeColor="text1"/>
                <w:sz w:val="20"/>
                <w:szCs w:val="20"/>
                <w:highlight w:val="none"/>
                <w:lang w:val="en-US" w:eastAsia="zh-CN"/>
              </w:rPr>
              <w:t>83</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原土回填</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1.回填土 夯实机夯实 槽、坑</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2398.28</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lang w:val="en-US" w:eastAsia="zh-CN"/>
              </w:rPr>
              <w:t>m³</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themeColor="text1"/>
                <w:sz w:val="20"/>
                <w:szCs w:val="20"/>
                <w:highlight w:val="none"/>
                <w:lang w:val="en-US" w:eastAsia="zh-CN"/>
              </w:rPr>
            </w:pPr>
            <w:r>
              <w:rPr>
                <w:rFonts w:hint="eastAsia" w:ascii="宋体" w:hAnsi="宋体" w:cs="宋体"/>
                <w:color w:val="000000" w:themeColor="text1"/>
                <w:sz w:val="20"/>
                <w:szCs w:val="20"/>
                <w:highlight w:val="none"/>
                <w:lang w:val="en-US" w:eastAsia="zh-CN"/>
              </w:rPr>
              <w:t>84</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利旧方砖恢复</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1.人行道砖 砂浆垫层(结合层) 厚度3cm 合并制作子目 砌筑用水泥砂浆(配合比) 中砂 M7.5</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424.50</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lang w:val="en-US" w:eastAsia="zh-CN"/>
              </w:rPr>
              <w:t>㎡</w:t>
            </w:r>
          </w:p>
        </w:tc>
      </w:tr>
      <w:tr>
        <w:tblPrEx>
          <w:tblCellMar>
            <w:top w:w="0" w:type="dxa"/>
            <w:left w:w="108" w:type="dxa"/>
            <w:bottom w:w="0" w:type="dxa"/>
            <w:right w:w="108" w:type="dxa"/>
          </w:tblCellMar>
        </w:tblPrEx>
        <w:trPr>
          <w:trHeight w:val="58"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default" w:ascii="宋体" w:hAnsi="宋体" w:eastAsia="宋体" w:cs="宋体"/>
                <w:color w:val="000000" w:themeColor="text1"/>
                <w:kern w:val="0"/>
                <w:sz w:val="20"/>
                <w:szCs w:val="20"/>
                <w:highlight w:val="none"/>
                <w:lang w:val="en-US" w:eastAsia="zh-CN"/>
              </w:rPr>
            </w:pPr>
            <w:r>
              <w:rPr>
                <w:rFonts w:hint="eastAsia" w:ascii="宋体" w:hAnsi="宋体" w:cs="宋体"/>
                <w:color w:val="000000" w:themeColor="text1"/>
                <w:sz w:val="20"/>
                <w:szCs w:val="20"/>
                <w:highlight w:val="none"/>
                <w:lang w:val="en-US" w:eastAsia="zh-CN"/>
              </w:rPr>
              <w:t>85</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C25水泥混凝土恢复</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1.水泥混凝土路面 厚度 20cm 合并制作子目 普通预拌混凝土 碎石粒径综合考虑 C25</w:t>
            </w:r>
            <w:r>
              <w:rPr>
                <w:rFonts w:hint="eastAsia" w:ascii="宋体" w:hAnsi="宋体" w:cs="宋体"/>
                <w:color w:val="000000" w:themeColor="text1"/>
                <w:sz w:val="20"/>
                <w:szCs w:val="20"/>
                <w:highlight w:val="none"/>
              </w:rPr>
              <w:br w:type="textWrapping"/>
            </w:r>
            <w:r>
              <w:rPr>
                <w:rFonts w:hint="eastAsia" w:ascii="宋体" w:hAnsi="宋体" w:cs="宋体"/>
                <w:color w:val="000000" w:themeColor="text1"/>
                <w:sz w:val="20"/>
                <w:szCs w:val="20"/>
                <w:highlight w:val="none"/>
              </w:rPr>
              <w:t>2.水泥混凝土路面养生 水养生</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84.75</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lang w:val="en-US" w:eastAsia="zh-CN"/>
              </w:rPr>
              <w:t>㎡</w:t>
            </w:r>
          </w:p>
        </w:tc>
      </w:tr>
      <w:tr>
        <w:tblPrEx>
          <w:tblCellMar>
            <w:top w:w="0" w:type="dxa"/>
            <w:left w:w="108" w:type="dxa"/>
            <w:bottom w:w="0" w:type="dxa"/>
            <w:right w:w="108" w:type="dxa"/>
          </w:tblCellMar>
        </w:tblPrEx>
        <w:trPr>
          <w:trHeight w:val="400" w:hRule="atLeast"/>
          <w:jc w:val="center"/>
        </w:trPr>
        <w:tc>
          <w:tcPr>
            <w:tcW w:w="9887"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b/>
                <w:color w:val="000000" w:themeColor="text1"/>
                <w:kern w:val="0"/>
                <w:sz w:val="20"/>
                <w:szCs w:val="20"/>
                <w:highlight w:val="none"/>
                <w:lang w:bidi="ar"/>
              </w:rPr>
            </w:pPr>
            <w:r>
              <w:rPr>
                <w:rFonts w:hint="eastAsia" w:ascii="宋体" w:hAnsi="宋体" w:cs="宋体"/>
                <w:b/>
                <w:color w:val="000000" w:themeColor="text1"/>
                <w:kern w:val="0"/>
                <w:sz w:val="20"/>
                <w:szCs w:val="20"/>
                <w:highlight w:val="none"/>
                <w:lang w:bidi="ar"/>
              </w:rPr>
              <w:t>五、系统集成费、维护保养服务费</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default" w:ascii="宋体" w:hAnsi="宋体" w:eastAsia="宋体" w:cs="宋体"/>
                <w:color w:val="000000" w:themeColor="text1"/>
                <w:kern w:val="0"/>
                <w:sz w:val="20"/>
                <w:szCs w:val="20"/>
                <w:highlight w:val="none"/>
                <w:lang w:val="en-US" w:eastAsia="zh-CN"/>
              </w:rPr>
            </w:pPr>
            <w:r>
              <w:rPr>
                <w:rFonts w:hint="eastAsia" w:ascii="宋体" w:hAnsi="宋体" w:cs="宋体"/>
                <w:color w:val="000000" w:themeColor="text1"/>
                <w:sz w:val="20"/>
                <w:szCs w:val="20"/>
                <w:highlight w:val="none"/>
                <w:lang w:val="en-US" w:eastAsia="zh-CN"/>
              </w:rPr>
              <w:t>86</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系统集成费</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1.系统集成费。</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系统</w:t>
            </w:r>
          </w:p>
        </w:tc>
      </w:tr>
      <w:tr>
        <w:tblPrEx>
          <w:tblCellMar>
            <w:top w:w="0" w:type="dxa"/>
            <w:left w:w="108" w:type="dxa"/>
            <w:bottom w:w="0" w:type="dxa"/>
            <w:right w:w="108" w:type="dxa"/>
          </w:tblCellMar>
        </w:tblPrEx>
        <w:trPr>
          <w:trHeight w:val="400" w:hRule="atLeast"/>
          <w:jc w:val="center"/>
        </w:trPr>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themeColor="text1"/>
                <w:sz w:val="20"/>
                <w:szCs w:val="20"/>
                <w:highlight w:val="none"/>
                <w:lang w:val="en-US" w:eastAsia="zh-CN"/>
              </w:rPr>
            </w:pPr>
            <w:r>
              <w:rPr>
                <w:rFonts w:hint="eastAsia" w:ascii="宋体" w:hAnsi="宋体" w:cs="宋体"/>
                <w:color w:val="000000" w:themeColor="text1"/>
                <w:sz w:val="20"/>
                <w:szCs w:val="20"/>
                <w:highlight w:val="none"/>
                <w:lang w:val="en-US" w:eastAsia="zh-CN"/>
              </w:rPr>
              <w:t>87</w:t>
            </w:r>
          </w:p>
        </w:tc>
        <w:tc>
          <w:tcPr>
            <w:tcW w:w="140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维护保养服务费</w:t>
            </w:r>
          </w:p>
        </w:tc>
        <w:tc>
          <w:tcPr>
            <w:tcW w:w="6043"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1.维护保养服务费</w:t>
            </w:r>
          </w:p>
        </w:tc>
        <w:tc>
          <w:tcPr>
            <w:tcW w:w="93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themeColor="text1"/>
                <w:sz w:val="20"/>
                <w:szCs w:val="20"/>
                <w:highlight w:val="none"/>
              </w:rPr>
            </w:pPr>
            <w:r>
              <w:rPr>
                <w:rFonts w:hint="eastAsia" w:ascii="宋体" w:hAnsi="宋体" w:cs="宋体"/>
                <w:color w:val="000000" w:themeColor="text1"/>
                <w:sz w:val="20"/>
                <w:szCs w:val="20"/>
                <w:highlight w:val="none"/>
              </w:rPr>
              <w:t>系统</w:t>
            </w:r>
          </w:p>
        </w:tc>
      </w:tr>
    </w:tbl>
    <w:p>
      <w:pPr>
        <w:pStyle w:val="46"/>
        <w:ind w:left="0" w:leftChars="0" w:firstLine="0" w:firstLineChars="0"/>
        <w:rPr>
          <w:rFonts w:ascii="宋体" w:hAnsi="宋体"/>
          <w:bCs/>
          <w:color w:val="000000" w:themeColor="text1"/>
          <w:highlight w:val="none"/>
        </w:rPr>
      </w:pPr>
    </w:p>
    <w:p>
      <w:pPr>
        <w:pStyle w:val="46"/>
        <w:ind w:left="0" w:leftChars="0" w:firstLine="0" w:firstLineChars="0"/>
        <w:rPr>
          <w:rFonts w:ascii="宋体" w:hAnsi="宋体"/>
          <w:bCs/>
          <w:color w:val="000000" w:themeColor="text1"/>
          <w:highlight w:val="none"/>
        </w:rPr>
      </w:pPr>
    </w:p>
    <w:p>
      <w:pPr>
        <w:pStyle w:val="46"/>
        <w:ind w:left="0" w:leftChars="0" w:firstLine="0" w:firstLineChars="0"/>
        <w:rPr>
          <w:rFonts w:ascii="宋体" w:hAnsi="宋体"/>
          <w:bCs/>
          <w:color w:val="000000" w:themeColor="text1"/>
          <w:highlight w:val="none"/>
        </w:rPr>
      </w:pPr>
    </w:p>
    <w:p>
      <w:pPr>
        <w:pStyle w:val="46"/>
        <w:ind w:left="0" w:leftChars="0" w:firstLine="0" w:firstLineChars="0"/>
        <w:rPr>
          <w:rFonts w:ascii="宋体" w:hAnsi="宋体"/>
          <w:bCs/>
          <w:color w:val="000000" w:themeColor="text1"/>
          <w:highlight w:val="none"/>
        </w:rPr>
      </w:pPr>
    </w:p>
    <w:p>
      <w:pPr>
        <w:pStyle w:val="46"/>
        <w:ind w:left="0" w:leftChars="0" w:firstLine="0" w:firstLineChars="0"/>
        <w:rPr>
          <w:rFonts w:ascii="宋体" w:hAnsi="宋体"/>
          <w:bCs/>
          <w:color w:val="000000" w:themeColor="text1"/>
          <w:highlight w:val="none"/>
        </w:rPr>
      </w:pPr>
    </w:p>
    <w:p>
      <w:pPr>
        <w:pStyle w:val="46"/>
        <w:ind w:left="0" w:leftChars="0" w:firstLine="0" w:firstLineChars="0"/>
        <w:rPr>
          <w:rFonts w:ascii="宋体" w:hAnsi="宋体"/>
          <w:bCs/>
          <w:color w:val="000000" w:themeColor="text1"/>
          <w:highlight w:val="none"/>
        </w:rPr>
      </w:pPr>
    </w:p>
    <w:p>
      <w:pPr>
        <w:pStyle w:val="46"/>
        <w:ind w:left="0" w:leftChars="0" w:firstLine="0" w:firstLineChars="0"/>
        <w:rPr>
          <w:rFonts w:ascii="宋体" w:hAnsi="宋体"/>
          <w:bCs/>
          <w:color w:val="000000" w:themeColor="text1"/>
          <w:highlight w:val="none"/>
        </w:rPr>
      </w:pPr>
    </w:p>
    <w:p>
      <w:pPr>
        <w:pStyle w:val="46"/>
        <w:ind w:left="0" w:leftChars="0" w:firstLine="0" w:firstLineChars="0"/>
        <w:rPr>
          <w:rFonts w:ascii="宋体" w:hAnsi="宋体"/>
          <w:bCs/>
          <w:color w:val="000000" w:themeColor="text1"/>
          <w:highlight w:val="none"/>
        </w:rPr>
      </w:pPr>
    </w:p>
    <w:p>
      <w:pPr>
        <w:pStyle w:val="46"/>
        <w:ind w:left="0" w:leftChars="0" w:firstLine="0" w:firstLineChars="0"/>
        <w:rPr>
          <w:rFonts w:ascii="宋体" w:hAnsi="宋体"/>
          <w:bCs/>
          <w:color w:val="000000" w:themeColor="text1"/>
          <w:highlight w:val="none"/>
        </w:rPr>
      </w:pPr>
    </w:p>
    <w:p>
      <w:pPr>
        <w:pStyle w:val="46"/>
        <w:ind w:left="0" w:leftChars="0" w:firstLine="0" w:firstLineChars="0"/>
        <w:rPr>
          <w:rFonts w:ascii="宋体" w:hAnsi="宋体"/>
          <w:bCs/>
          <w:color w:val="000000" w:themeColor="text1"/>
          <w:highlight w:val="none"/>
        </w:rPr>
      </w:pPr>
    </w:p>
    <w:p>
      <w:pPr>
        <w:pStyle w:val="46"/>
        <w:ind w:left="0" w:leftChars="0" w:firstLine="0" w:firstLineChars="0"/>
        <w:rPr>
          <w:rFonts w:ascii="宋体" w:hAnsi="宋体"/>
          <w:bCs/>
          <w:color w:val="000000" w:themeColor="text1"/>
          <w:highlight w:val="none"/>
        </w:rPr>
      </w:pPr>
    </w:p>
    <w:p>
      <w:pPr>
        <w:pStyle w:val="46"/>
        <w:rPr>
          <w:rFonts w:ascii="宋体" w:hAnsi="宋体"/>
          <w:bCs/>
          <w:color w:val="000000" w:themeColor="text1"/>
          <w:highlight w:val="none"/>
        </w:rPr>
      </w:pPr>
    </w:p>
    <w:p>
      <w:pPr>
        <w:pStyle w:val="46"/>
        <w:ind w:left="0" w:leftChars="0" w:firstLine="0" w:firstLineChars="0"/>
        <w:rPr>
          <w:rFonts w:ascii="宋体" w:hAnsi="宋体"/>
          <w:bCs/>
          <w:color w:val="000000" w:themeColor="text1"/>
          <w:highlight w:val="none"/>
        </w:rPr>
      </w:pPr>
    </w:p>
    <w:p>
      <w:pPr>
        <w:pStyle w:val="46"/>
        <w:rPr>
          <w:rFonts w:ascii="宋体" w:hAnsi="宋体"/>
          <w:bCs/>
          <w:color w:val="000000" w:themeColor="text1"/>
          <w:highlight w:val="none"/>
        </w:rPr>
      </w:pPr>
    </w:p>
    <w:p>
      <w:pPr>
        <w:pStyle w:val="46"/>
        <w:rPr>
          <w:rFonts w:ascii="宋体" w:hAnsi="宋体"/>
          <w:bCs/>
          <w:color w:val="000000" w:themeColor="text1"/>
          <w:highlight w:val="none"/>
        </w:rPr>
      </w:pPr>
    </w:p>
    <w:p>
      <w:pPr>
        <w:pStyle w:val="46"/>
        <w:rPr>
          <w:rFonts w:ascii="宋体" w:hAnsi="宋体"/>
          <w:bCs/>
          <w:color w:val="000000" w:themeColor="text1"/>
          <w:highlight w:val="none"/>
        </w:rPr>
      </w:pPr>
    </w:p>
    <w:p>
      <w:pPr>
        <w:pStyle w:val="46"/>
        <w:rPr>
          <w:rFonts w:ascii="宋体" w:hAnsi="宋体"/>
          <w:bCs/>
          <w:color w:val="000000" w:themeColor="text1"/>
          <w:highlight w:val="none"/>
        </w:rPr>
      </w:pPr>
    </w:p>
    <w:p>
      <w:pPr>
        <w:pStyle w:val="46"/>
        <w:rPr>
          <w:rFonts w:ascii="宋体" w:hAnsi="宋体"/>
          <w:bCs/>
          <w:color w:val="000000" w:themeColor="text1"/>
          <w:highlight w:val="none"/>
        </w:rPr>
      </w:pPr>
    </w:p>
    <w:p>
      <w:pPr>
        <w:pStyle w:val="46"/>
        <w:rPr>
          <w:rFonts w:ascii="宋体" w:hAnsi="宋体"/>
          <w:bCs/>
          <w:color w:val="000000" w:themeColor="text1"/>
          <w:highlight w:val="none"/>
        </w:rPr>
      </w:pPr>
    </w:p>
    <w:p>
      <w:pPr>
        <w:pStyle w:val="46"/>
        <w:rPr>
          <w:rFonts w:ascii="宋体" w:hAnsi="宋体"/>
          <w:bCs/>
          <w:color w:val="000000" w:themeColor="text1"/>
          <w:highlight w:val="none"/>
        </w:rPr>
      </w:pPr>
    </w:p>
    <w:p>
      <w:pPr>
        <w:pStyle w:val="46"/>
        <w:rPr>
          <w:rFonts w:ascii="宋体" w:hAnsi="宋体"/>
          <w:bCs/>
          <w:color w:val="000000" w:themeColor="text1"/>
          <w:highlight w:val="none"/>
        </w:rPr>
      </w:pPr>
    </w:p>
    <w:p>
      <w:pPr>
        <w:pStyle w:val="46"/>
        <w:rPr>
          <w:rFonts w:ascii="宋体" w:hAnsi="宋体"/>
          <w:bCs/>
          <w:color w:val="000000" w:themeColor="text1"/>
          <w:highlight w:val="none"/>
        </w:rPr>
      </w:pPr>
    </w:p>
    <w:p>
      <w:pPr>
        <w:pStyle w:val="46"/>
        <w:rPr>
          <w:rFonts w:ascii="宋体" w:hAnsi="宋体"/>
          <w:bCs/>
          <w:color w:val="000000" w:themeColor="text1"/>
          <w:highlight w:val="none"/>
        </w:rPr>
      </w:pPr>
    </w:p>
    <w:p>
      <w:pPr>
        <w:pStyle w:val="46"/>
        <w:rPr>
          <w:rFonts w:ascii="宋体" w:hAnsi="宋体"/>
          <w:bCs/>
          <w:color w:val="000000" w:themeColor="text1"/>
          <w:highlight w:val="none"/>
        </w:rPr>
      </w:pPr>
    </w:p>
    <w:p>
      <w:pPr>
        <w:pStyle w:val="46"/>
        <w:rPr>
          <w:rFonts w:ascii="宋体" w:hAnsi="宋体"/>
          <w:bCs/>
          <w:color w:val="000000" w:themeColor="text1"/>
          <w:highlight w:val="none"/>
        </w:rPr>
      </w:pPr>
    </w:p>
    <w:p>
      <w:pPr>
        <w:pStyle w:val="46"/>
        <w:ind w:left="0" w:leftChars="0" w:firstLine="0" w:firstLineChars="0"/>
        <w:rPr>
          <w:rFonts w:ascii="宋体" w:hAnsi="宋体"/>
          <w:bCs/>
          <w:color w:val="000000" w:themeColor="text1"/>
          <w:highlight w:val="none"/>
        </w:rPr>
      </w:pPr>
    </w:p>
    <w:p>
      <w:pPr>
        <w:pStyle w:val="46"/>
        <w:ind w:left="0" w:leftChars="0" w:firstLine="0" w:firstLineChars="0"/>
        <w:rPr>
          <w:rFonts w:ascii="宋体" w:hAnsi="宋体"/>
          <w:bCs/>
          <w:color w:val="000000" w:themeColor="text1"/>
          <w:highlight w:val="none"/>
        </w:rPr>
      </w:pPr>
    </w:p>
    <w:p>
      <w:pPr>
        <w:pStyle w:val="5"/>
        <w:ind w:left="0" w:leftChars="0" w:firstLine="0" w:firstLineChars="0"/>
        <w:rPr>
          <w:color w:val="000000" w:themeColor="text1"/>
          <w:sz w:val="21"/>
          <w:szCs w:val="21"/>
          <w:highlight w:val="none"/>
        </w:rPr>
      </w:pPr>
    </w:p>
    <w:p>
      <w:pPr>
        <w:pStyle w:val="3"/>
        <w:numPr>
          <w:ilvl w:val="0"/>
          <w:numId w:val="0"/>
        </w:numPr>
        <w:spacing w:beforeLines="0" w:line="240" w:lineRule="auto"/>
        <w:rPr>
          <w:color w:val="000000" w:themeColor="text1"/>
          <w:highlight w:val="none"/>
        </w:rPr>
      </w:pPr>
      <w:bookmarkStart w:id="138" w:name="_Toc12583"/>
      <w:r>
        <w:rPr>
          <w:rFonts w:hint="eastAsia"/>
          <w:color w:val="000000" w:themeColor="text1"/>
          <w:highlight w:val="none"/>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38"/>
    </w:p>
    <w:p>
      <w:pPr>
        <w:pStyle w:val="4"/>
        <w:numPr>
          <w:ilvl w:val="0"/>
          <w:numId w:val="0"/>
        </w:numPr>
        <w:rPr>
          <w:color w:val="000000" w:themeColor="text1"/>
          <w:szCs w:val="21"/>
          <w:highlight w:val="none"/>
        </w:rPr>
      </w:pPr>
      <w:bookmarkStart w:id="139" w:name="_Toc8895"/>
      <w:bookmarkStart w:id="140" w:name="_Toc434832495"/>
      <w:bookmarkStart w:id="141" w:name="_Toc456648358"/>
      <w:bookmarkStart w:id="142" w:name="_Toc456272919"/>
      <w:r>
        <w:rPr>
          <w:rFonts w:hint="eastAsia"/>
          <w:color w:val="000000" w:themeColor="text1"/>
          <w:szCs w:val="21"/>
          <w:highlight w:val="none"/>
        </w:rPr>
        <w:t>投标人须知前附表</w:t>
      </w:r>
      <w:bookmarkEnd w:id="139"/>
      <w:bookmarkEnd w:id="140"/>
      <w:bookmarkEnd w:id="141"/>
      <w:bookmarkEnd w:id="142"/>
    </w:p>
    <w:tbl>
      <w:tblPr>
        <w:tblStyle w:val="47"/>
        <w:tblW w:w="9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bookmarkStart w:id="143" w:name="_Hlt21938665"/>
            <w:bookmarkEnd w:id="143"/>
            <w:bookmarkStart w:id="144" w:name="_Hlt21938668"/>
            <w:bookmarkEnd w:id="144"/>
            <w:bookmarkStart w:id="145" w:name="_Toc331512866"/>
            <w:bookmarkStart w:id="146" w:name="_Toc339020201"/>
            <w:bookmarkStart w:id="147" w:name="_Toc339020063"/>
            <w:bookmarkStart w:id="148" w:name="_Toc349127594"/>
            <w:bookmarkStart w:id="149" w:name="_Toc342060342"/>
            <w:bookmarkStart w:id="150" w:name="_Toc497224194"/>
            <w:bookmarkStart w:id="151" w:name="_Toc330459953"/>
            <w:bookmarkStart w:id="152" w:name="_Toc333238601"/>
            <w:bookmarkStart w:id="153" w:name="_Toc333237645"/>
            <w:bookmarkStart w:id="154" w:name="_Toc339362268"/>
            <w:bookmarkStart w:id="155" w:name="_Toc333935655"/>
            <w:bookmarkStart w:id="156" w:name="_Toc331684006"/>
            <w:bookmarkStart w:id="157" w:name="_Toc350438717"/>
            <w:bookmarkStart w:id="158" w:name="_Toc337632326"/>
            <w:bookmarkStart w:id="159" w:name="_Toc366072496"/>
            <w:bookmarkStart w:id="160" w:name="_Toc340672837"/>
            <w:bookmarkStart w:id="161" w:name="_Toc342296728"/>
            <w:bookmarkStart w:id="162" w:name="_Toc333237756"/>
            <w:bookmarkStart w:id="163" w:name="_Toc339441055"/>
            <w:bookmarkStart w:id="164" w:name="_Toc345513835"/>
            <w:bookmarkStart w:id="165" w:name="_Toc339019857"/>
            <w:bookmarkStart w:id="166" w:name="_Toc365967041"/>
            <w:bookmarkStart w:id="167" w:name="_Toc336681903"/>
            <w:bookmarkStart w:id="168" w:name="_Toc332270314"/>
            <w:bookmarkStart w:id="169" w:name="_Toc332206676"/>
            <w:bookmarkStart w:id="170" w:name="_Toc341348306"/>
            <w:bookmarkStart w:id="171" w:name="_Toc336681548"/>
            <w:bookmarkStart w:id="172" w:name="_Toc350756418"/>
            <w:bookmarkStart w:id="173" w:name="_Toc333935314"/>
            <w:bookmarkStart w:id="174" w:name="_Toc365985147"/>
            <w:bookmarkStart w:id="175" w:name="_Toc503785396"/>
            <w:bookmarkStart w:id="176" w:name="_Toc340677038"/>
            <w:bookmarkStart w:id="177" w:name="_Toc349143557"/>
            <w:bookmarkStart w:id="178" w:name="_Toc339019983"/>
            <w:bookmarkStart w:id="179" w:name="_Toc340507410"/>
            <w:r>
              <w:rPr>
                <w:rFonts w:hint="eastAsia" w:ascii="宋体" w:hAnsi="宋体"/>
                <w:b/>
                <w:color w:val="000000" w:themeColor="text1"/>
                <w:szCs w:val="21"/>
                <w:highlight w:val="none"/>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rPr>
            </w:pPr>
            <w:r>
              <w:rPr>
                <w:rFonts w:hint="eastAsia"/>
                <w:color w:val="000000" w:themeColor="text1"/>
                <w:highlight w:val="none"/>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bCs/>
                <w:color w:val="000000" w:themeColor="text1"/>
                <w:highlight w:val="none"/>
              </w:rPr>
              <w:t>评标委员会</w:t>
            </w:r>
            <w:r>
              <w:rPr>
                <w:rFonts w:hint="eastAsia" w:ascii="宋体"/>
                <w:bCs/>
                <w:color w:val="000000" w:themeColor="text1"/>
                <w:highlight w:val="none"/>
                <w:lang w:val="en-US" w:eastAsia="zh-CN"/>
              </w:rPr>
              <w:t>根据政府采购相关法律法规组成</w:t>
            </w:r>
            <w:r>
              <w:rPr>
                <w:rFonts w:hint="eastAsia" w:ascii="宋体"/>
                <w:bCs/>
                <w:color w:val="000000" w:themeColor="text1"/>
                <w:highlight w:val="none"/>
              </w:rPr>
              <w:t>，评审专家根据相关法律法规及法律程序</w:t>
            </w:r>
            <w:r>
              <w:rPr>
                <w:rFonts w:hint="eastAsia" w:ascii="宋体"/>
                <w:bCs/>
                <w:color w:val="000000" w:themeColor="text1"/>
                <w:highlight w:val="none"/>
                <w:lang w:eastAsia="zh-CN"/>
              </w:rPr>
              <w:t>，</w:t>
            </w:r>
            <w:r>
              <w:rPr>
                <w:rFonts w:hint="eastAsia" w:ascii="宋体"/>
                <w:bCs/>
                <w:color w:val="000000" w:themeColor="text1"/>
                <w:highlight w:val="none"/>
              </w:rPr>
              <w:t>依据本次采购活动的特点和需要在政府指定的专家库中随机抽取产生,</w:t>
            </w:r>
            <w:r>
              <w:rPr>
                <w:rFonts w:hint="eastAsia" w:ascii="宋体"/>
                <w:b/>
                <w:bCs/>
                <w:color w:val="000000" w:themeColor="text1"/>
                <w:highlight w:val="none"/>
              </w:rPr>
              <w:t>专家数量共</w:t>
            </w:r>
            <w:r>
              <w:rPr>
                <w:rFonts w:hint="eastAsia" w:ascii="宋体"/>
                <w:b/>
                <w:bCs/>
                <w:color w:val="000000" w:themeColor="text1"/>
                <w:highlight w:val="none"/>
                <w:u w:val="single"/>
              </w:rPr>
              <w:t xml:space="preserve"> 5</w:t>
            </w:r>
            <w:r>
              <w:rPr>
                <w:rFonts w:ascii="宋体"/>
                <w:b/>
                <w:bCs/>
                <w:color w:val="000000" w:themeColor="text1"/>
                <w:highlight w:val="none"/>
                <w:u w:val="single"/>
              </w:rPr>
              <w:t xml:space="preserve"> </w:t>
            </w:r>
            <w:r>
              <w:rPr>
                <w:rFonts w:hint="eastAsia" w:ascii="宋体"/>
                <w:b/>
                <w:bCs/>
                <w:color w:val="000000" w:themeColor="text1"/>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rPr>
            </w:pPr>
            <w:r>
              <w:rPr>
                <w:rFonts w:hint="eastAsia" w:ascii="宋体" w:hAnsi="宋体"/>
                <w:color w:val="000000" w:themeColor="text1"/>
                <w:szCs w:val="21"/>
                <w:highlight w:val="none"/>
              </w:rPr>
              <w:t>投标资料数量和封装</w:t>
            </w:r>
            <w:r>
              <w:rPr>
                <w:rFonts w:hint="eastAsia" w:ascii="宋体" w:hAnsi="宋体"/>
                <w:color w:val="000000" w:themeColor="text1"/>
                <w:szCs w:val="21"/>
                <w:highlight w:val="none"/>
                <w:lang w:val="en-US" w:eastAsia="zh-CN"/>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color w:val="000000" w:themeColor="text1"/>
                <w:highlight w:val="none"/>
                <w:lang w:eastAsia="zh-CN"/>
              </w:rPr>
            </w:pPr>
            <w:r>
              <w:rPr>
                <w:rFonts w:hint="eastAsia" w:ascii="宋体" w:hAnsi="宋体"/>
                <w:b/>
                <w:bCs/>
                <w:color w:val="000000" w:themeColor="text1"/>
                <w:szCs w:val="21"/>
                <w:highlight w:val="none"/>
                <w:lang w:val="en-US" w:eastAsia="zh-CN"/>
              </w:rPr>
              <w:t>共提供4份</w:t>
            </w:r>
            <w:r>
              <w:rPr>
                <w:rFonts w:hint="eastAsia" w:ascii="宋体" w:hAnsi="宋体"/>
                <w:b/>
                <w:bCs/>
                <w:color w:val="000000" w:themeColor="text1"/>
                <w:szCs w:val="21"/>
                <w:highlight w:val="none"/>
              </w:rPr>
              <w:t>投标</w:t>
            </w:r>
            <w:r>
              <w:rPr>
                <w:rFonts w:hint="eastAsia" w:ascii="宋体" w:hAnsi="宋体"/>
                <w:b/>
                <w:bCs/>
                <w:color w:val="000000" w:themeColor="text1"/>
                <w:szCs w:val="21"/>
                <w:highlight w:val="none"/>
                <w:lang w:val="en-US" w:eastAsia="zh-CN"/>
              </w:rPr>
              <w:t>资料，分别封装：</w:t>
            </w:r>
            <w:r>
              <w:rPr>
                <w:rFonts w:hint="eastAsia" w:ascii="宋体" w:hAnsi="宋体"/>
                <w:b/>
                <w:bCs/>
                <w:color w:val="000000" w:themeColor="text1"/>
                <w:szCs w:val="21"/>
                <w:highlight w:val="none"/>
                <w:lang w:val="en-US" w:eastAsia="zh-CN"/>
              </w:rPr>
              <w:br w:type="textWrapping"/>
            </w: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1、</w:t>
            </w:r>
            <w:r>
              <w:rPr>
                <w:rFonts w:hint="eastAsia" w:ascii="宋体" w:hAnsi="宋体"/>
                <w:b/>
                <w:bCs/>
                <w:color w:val="000000" w:themeColor="text1"/>
                <w:szCs w:val="21"/>
                <w:highlight w:val="none"/>
              </w:rPr>
              <w:t>资格审查文件</w:t>
            </w:r>
            <w:r>
              <w:rPr>
                <w:rFonts w:hint="eastAsia" w:ascii="宋体" w:hAnsi="宋体"/>
                <w:b/>
                <w:bCs/>
                <w:color w:val="000000" w:themeColor="text1"/>
                <w:szCs w:val="21"/>
                <w:highlight w:val="none"/>
                <w:lang w:eastAsia="zh-CN"/>
              </w:rPr>
              <w:t>。</w:t>
            </w:r>
            <w:r>
              <w:rPr>
                <w:rFonts w:hint="eastAsia"/>
                <w:color w:val="000000" w:themeColor="text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2、</w:t>
            </w:r>
            <w:r>
              <w:rPr>
                <w:rFonts w:hint="eastAsia" w:ascii="宋体" w:hAnsi="宋体"/>
                <w:b/>
                <w:bCs/>
                <w:color w:val="000000" w:themeColor="text1"/>
                <w:szCs w:val="21"/>
                <w:highlight w:val="none"/>
              </w:rPr>
              <w:t>商务及技术文件</w:t>
            </w:r>
            <w:r>
              <w:rPr>
                <w:rFonts w:hint="eastAsia" w:ascii="宋体" w:hAnsi="宋体"/>
                <w:b/>
                <w:bCs/>
                <w:color w:val="000000" w:themeColor="text1"/>
                <w:szCs w:val="2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4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rPr>
              <w:t>开标信封</w:t>
            </w:r>
            <w:r>
              <w:rPr>
                <w:rFonts w:hint="eastAsia"/>
                <w:b/>
                <w:bCs/>
                <w:color w:val="000000" w:themeColor="text1"/>
                <w:szCs w:val="21"/>
                <w:highlight w:val="none"/>
                <w:lang w:eastAsia="zh-CN"/>
              </w:rPr>
              <w:t>。</w:t>
            </w:r>
            <w:r>
              <w:rPr>
                <w:rFonts w:hint="eastAsia"/>
                <w:color w:val="000000" w:themeColor="text1"/>
                <w:highlight w:val="none"/>
                <w:lang w:val="en-US" w:eastAsia="zh-CN"/>
              </w:rPr>
              <w:t>（内含“开标一览表”、“投标保证金”、“分项报价表”、“保证金退付书”、“法定代表人（负责人）证明书”和“法定代表人（负责人）授权书”</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lang w:val="en-US" w:eastAsia="zh-CN"/>
              </w:rPr>
              <w:t>4、</w:t>
            </w:r>
            <w:r>
              <w:rPr>
                <w:rFonts w:hint="eastAsia"/>
                <w:b/>
                <w:bCs/>
                <w:color w:val="000000" w:themeColor="text1"/>
                <w:highlight w:val="none"/>
                <w:lang w:val="en-US" w:eastAsia="zh-CN"/>
              </w:rPr>
              <w:t>投标文件电子版。</w:t>
            </w:r>
            <w:r>
              <w:rPr>
                <w:rFonts w:hint="eastAsia"/>
                <w:color w:val="000000" w:themeColor="text1"/>
                <w:highlight w:val="none"/>
                <w:lang w:val="en-US" w:eastAsia="zh-CN"/>
              </w:rPr>
              <w:t>（以光盘或U盘提供，内含PDF及可编辑的投标文件电子版1份，</w:t>
            </w:r>
            <w:r>
              <w:rPr>
                <w:rFonts w:hint="eastAsia"/>
                <w:color w:val="000000" w:themeColor="text1"/>
                <w:szCs w:val="21"/>
                <w:highlight w:val="none"/>
              </w:rPr>
              <w:t>在封面上注明“</w:t>
            </w:r>
            <w:r>
              <w:rPr>
                <w:rFonts w:hint="eastAsia"/>
                <w:color w:val="000000" w:themeColor="text1"/>
                <w:szCs w:val="21"/>
                <w:highlight w:val="none"/>
                <w:lang w:val="en-US" w:eastAsia="zh-CN"/>
              </w:rPr>
              <w:t>公司名称-</w:t>
            </w:r>
            <w:r>
              <w:rPr>
                <w:rFonts w:hint="eastAsia"/>
                <w:color w:val="000000" w:themeColor="text1"/>
                <w:highlight w:val="none"/>
                <w:lang w:val="en-US" w:eastAsia="zh-CN"/>
              </w:rPr>
              <w:t>投标文件电子版</w:t>
            </w:r>
            <w:r>
              <w:rPr>
                <w:rFonts w:hint="eastAsia"/>
                <w:color w:val="000000" w:themeColor="text1"/>
                <w:szCs w:val="21"/>
                <w:highlight w:val="none"/>
              </w:rPr>
              <w:t>”</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hAnsi="宋体"/>
                <w:b/>
                <w:bCs w:val="0"/>
                <w:color w:val="000000" w:themeColor="text1"/>
                <w:szCs w:val="21"/>
                <w:highlight w:val="none"/>
                <w:lang w:val="en-US" w:eastAsia="zh-CN"/>
              </w:rPr>
              <w:t>所有投标资料</w:t>
            </w:r>
            <w:r>
              <w:rPr>
                <w:rFonts w:hint="eastAsia" w:ascii="宋体"/>
                <w:bCs/>
                <w:color w:val="000000" w:themeColor="text1"/>
                <w:szCs w:val="21"/>
                <w:highlight w:val="none"/>
              </w:rPr>
              <w:t>分别</w:t>
            </w:r>
            <w:r>
              <w:rPr>
                <w:rFonts w:hint="eastAsia" w:ascii="宋体" w:hAnsi="宋体"/>
                <w:bCs/>
                <w:color w:val="000000" w:themeColor="text1"/>
                <w:szCs w:val="21"/>
                <w:highlight w:val="none"/>
              </w:rPr>
              <w:t>密封在不透明的外层封装中，</w:t>
            </w:r>
            <w:r>
              <w:rPr>
                <w:rFonts w:hint="eastAsia"/>
                <w:color w:val="000000" w:themeColor="text1"/>
                <w:szCs w:val="21"/>
                <w:highlight w:val="none"/>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bCs/>
                <w:color w:val="000000" w:themeColor="text1"/>
                <w:highlight w:val="none"/>
              </w:rPr>
              <w:t>每一密封封</w:t>
            </w:r>
            <w:r>
              <w:rPr>
                <w:rFonts w:hint="eastAsia" w:ascii="宋体"/>
                <w:bCs/>
                <w:color w:val="000000" w:themeColor="text1"/>
                <w:highlight w:val="none"/>
                <w:lang w:val="en-US" w:eastAsia="zh-CN"/>
              </w:rPr>
              <w:t>装</w:t>
            </w:r>
            <w:r>
              <w:rPr>
                <w:rFonts w:hint="eastAsia" w:ascii="宋体"/>
                <w:bCs/>
                <w:color w:val="000000" w:themeColor="text1"/>
                <w:highlight w:val="none"/>
              </w:rPr>
              <w:t>上均注明“于</w:t>
            </w:r>
            <w:r>
              <w:rPr>
                <w:rFonts w:hint="eastAsia" w:ascii="宋体"/>
                <w:bCs/>
                <w:color w:val="000000" w:themeColor="text1"/>
                <w:highlight w:val="none"/>
                <w:u w:val="single"/>
              </w:rPr>
              <w:t xml:space="preserve">     （投标截止时间）   </w:t>
            </w:r>
            <w:r>
              <w:rPr>
                <w:rFonts w:hint="eastAsia" w:ascii="宋体"/>
                <w:bCs/>
                <w:color w:val="000000" w:themeColor="text1"/>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000000" w:themeColor="text1"/>
                <w:highlight w:val="none"/>
              </w:rPr>
            </w:pPr>
            <w:r>
              <w:rPr>
                <w:rFonts w:hint="eastAsia" w:ascii="宋体"/>
                <w:bCs/>
                <w:color w:val="000000" w:themeColor="text1"/>
                <w:highlight w:val="none"/>
              </w:rPr>
              <w:t>投标人未按上述规定对投标文件进行密封和加写标记，</w:t>
            </w:r>
            <w:r>
              <w:rPr>
                <w:rFonts w:hint="eastAsia" w:ascii="宋体" w:hAnsi="宋体"/>
                <w:color w:val="000000" w:themeColor="text1"/>
                <w:highlight w:val="none"/>
              </w:rPr>
              <w:t>代理采购机构有权予以拒收，并退回给投标人。电报、电话、传真</w:t>
            </w:r>
            <w:r>
              <w:rPr>
                <w:rFonts w:hint="eastAsia" w:ascii="宋体"/>
                <w:bCs/>
                <w:color w:val="000000" w:themeColor="text1"/>
                <w:highlight w:val="none"/>
              </w:rPr>
              <w:t>等非纸质形式</w:t>
            </w:r>
            <w:r>
              <w:rPr>
                <w:rFonts w:hint="eastAsia" w:ascii="宋体" w:hAnsi="宋体"/>
                <w:color w:val="000000" w:themeColor="text1"/>
                <w:highlight w:val="none"/>
              </w:rPr>
              <w:t>的投标概不接受</w:t>
            </w:r>
            <w:r>
              <w:rPr>
                <w:rFonts w:hint="eastAsia" w:ascii="宋体"/>
                <w:bCs/>
                <w:color w:val="000000" w:themeColor="text1"/>
                <w:highlight w:val="none"/>
              </w:rPr>
              <w:t>。</w:t>
            </w:r>
            <w:r>
              <w:rPr>
                <w:b/>
                <w:bCs/>
                <w:color w:val="000000" w:themeColor="text1"/>
                <w:szCs w:val="21"/>
                <w:highlight w:val="none"/>
              </w:rPr>
              <w:t>所有投标文件密封袋的封口处应加盖投标人</w:t>
            </w:r>
            <w:r>
              <w:rPr>
                <w:rFonts w:hint="eastAsia"/>
                <w:b/>
                <w:bCs/>
                <w:color w:val="000000" w:themeColor="text1"/>
                <w:szCs w:val="21"/>
                <w:highlight w:val="none"/>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000000" w:themeColor="text1"/>
                <w:sz w:val="21"/>
                <w:szCs w:val="21"/>
                <w:highlight w:val="none"/>
              </w:rPr>
            </w:pPr>
            <w:r>
              <w:rPr>
                <w:rFonts w:hint="eastAsia"/>
                <w:b/>
                <w:color w:val="000000" w:themeColor="text1"/>
                <w:sz w:val="21"/>
                <w:szCs w:val="21"/>
                <w:highlight w:val="none"/>
              </w:rPr>
              <w:t>招标文件中打“★”号条款必须实质性响应，负偏离（不满足要求）将导致投标无效。</w:t>
            </w:r>
          </w:p>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Cs/>
                <w:color w:val="000000" w:themeColor="text1"/>
                <w:highlight w:val="none"/>
              </w:rPr>
            </w:pPr>
            <w:r>
              <w:rPr>
                <w:rFonts w:hint="eastAsia"/>
                <w:b/>
                <w:color w:val="000000" w:themeColor="text1"/>
                <w:sz w:val="21"/>
                <w:szCs w:val="21"/>
                <w:highlight w:val="none"/>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000000" w:themeColor="text1"/>
                <w:szCs w:val="21"/>
                <w:highlight w:val="none"/>
              </w:rPr>
            </w:pPr>
            <w:r>
              <w:rPr>
                <w:rFonts w:hint="eastAsia" w:ascii="宋体" w:hAnsi="宋体"/>
                <w:color w:val="000000" w:themeColor="text1"/>
                <w:szCs w:val="21"/>
                <w:highlight w:val="none"/>
              </w:rPr>
              <w:t>中国政府采购网</w:t>
            </w: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highlight w:val="none"/>
              </w:rPr>
            </w:pPr>
            <w:r>
              <w:rPr>
                <w:rFonts w:ascii="宋体" w:hAnsi="宋体"/>
                <w:color w:val="000000" w:themeColor="text1"/>
                <w:szCs w:val="21"/>
                <w:highlight w:val="none"/>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hAnsi="宋体"/>
                <w:color w:val="000000" w:themeColor="text1"/>
                <w:szCs w:val="21"/>
                <w:highlight w:val="none"/>
              </w:rPr>
              <w:t>广东业信采购招标有限公司网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color w:val="000000" w:themeColor="text1"/>
                <w:highlight w:val="none"/>
              </w:rPr>
              <w:fldChar w:fldCharType="begin"/>
            </w:r>
            <w:r>
              <w:rPr>
                <w:color w:val="000000" w:themeColor="text1"/>
                <w:highlight w:val="none"/>
              </w:rPr>
              <w:instrText xml:space="preserve"> HYPERLINK "http://www.gdgpo.gov.cn" </w:instrText>
            </w:r>
            <w:r>
              <w:rPr>
                <w:color w:val="000000" w:themeColor="text1"/>
                <w:highlight w:val="none"/>
              </w:rPr>
              <w:fldChar w:fldCharType="separate"/>
            </w:r>
            <w:r>
              <w:rPr>
                <w:rFonts w:ascii="宋体" w:hAnsi="宋体"/>
                <w:color w:val="000000" w:themeColor="text1"/>
                <w:szCs w:val="21"/>
                <w:highlight w:val="none"/>
              </w:rPr>
              <w:t>http://www.gdgpo.</w:t>
            </w:r>
            <w:r>
              <w:rPr>
                <w:rFonts w:hint="eastAsia" w:ascii="宋体" w:hAnsi="宋体"/>
                <w:color w:val="000000" w:themeColor="text1"/>
                <w:szCs w:val="21"/>
                <w:highlight w:val="none"/>
                <w:lang w:val="en-US" w:eastAsia="zh-CN"/>
              </w:rPr>
              <w:t>com.</w:t>
            </w:r>
            <w:r>
              <w:rPr>
                <w:rFonts w:ascii="宋体" w:hAnsi="宋体"/>
                <w:color w:val="000000" w:themeColor="text1"/>
                <w:szCs w:val="21"/>
                <w:highlight w:val="none"/>
              </w:rPr>
              <w:t>cn</w:t>
            </w:r>
            <w:r>
              <w:rPr>
                <w:rFonts w:ascii="宋体" w:hAnsi="宋体"/>
                <w:color w:val="000000" w:themeColor="text1"/>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r>
              <w:rPr>
                <w:rFonts w:hint="eastAsia" w:ascii="宋体" w:hAnsi="宋体"/>
                <w:color w:val="000000" w:themeColor="text1"/>
                <w:szCs w:val="21"/>
                <w:highlight w:val="none"/>
              </w:rPr>
              <w:t>http://www.yjcg.cc</w:t>
            </w:r>
          </w:p>
        </w:tc>
      </w:tr>
    </w:tbl>
    <w:p>
      <w:pPr>
        <w:pStyle w:val="5"/>
        <w:ind w:left="0" w:leftChars="0" w:firstLine="0" w:firstLineChars="0"/>
        <w:rPr>
          <w:color w:val="000000" w:themeColor="text1"/>
          <w:highlight w:val="none"/>
        </w:rPr>
      </w:pPr>
    </w:p>
    <w:p>
      <w:pPr>
        <w:pStyle w:val="4"/>
        <w:numPr>
          <w:ilvl w:val="0"/>
          <w:numId w:val="0"/>
        </w:numPr>
        <w:rPr>
          <w:color w:val="000000" w:themeColor="text1"/>
          <w:sz w:val="24"/>
          <w:highlight w:val="none"/>
        </w:rPr>
      </w:pPr>
      <w:bookmarkStart w:id="180" w:name="_Toc23550"/>
      <w:r>
        <w:rPr>
          <w:rFonts w:hint="eastAsia"/>
          <w:color w:val="000000" w:themeColor="text1"/>
          <w:sz w:val="24"/>
          <w:highlight w:val="none"/>
        </w:rPr>
        <w:t>Ａ</w:t>
      </w:r>
      <w:r>
        <w:rPr>
          <w:color w:val="000000" w:themeColor="text1"/>
          <w:sz w:val="24"/>
          <w:highlight w:val="none"/>
        </w:rPr>
        <w:t xml:space="preserve">  </w:t>
      </w:r>
      <w:r>
        <w:rPr>
          <w:rFonts w:hint="eastAsia"/>
          <w:color w:val="000000" w:themeColor="text1"/>
          <w:sz w:val="24"/>
          <w:highlight w:val="none"/>
        </w:rPr>
        <w:t>说</w:t>
      </w:r>
      <w:r>
        <w:rPr>
          <w:color w:val="000000" w:themeColor="text1"/>
          <w:sz w:val="24"/>
          <w:highlight w:val="none"/>
        </w:rPr>
        <w:t xml:space="preserve">  </w:t>
      </w:r>
      <w:r>
        <w:rPr>
          <w:rFonts w:hint="eastAsia"/>
          <w:color w:val="000000" w:themeColor="text1"/>
          <w:sz w:val="24"/>
          <w:highlight w:val="none"/>
        </w:rPr>
        <w:t>明</w:t>
      </w:r>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p>
    <w:p>
      <w:pPr>
        <w:pStyle w:val="6"/>
        <w:numPr>
          <w:ilvl w:val="4"/>
          <w:numId w:val="41"/>
        </w:numPr>
        <w:tabs>
          <w:tab w:val="left" w:pos="720"/>
        </w:tabs>
        <w:spacing w:before="240" w:after="120"/>
        <w:ind w:left="2432" w:hanging="2432"/>
        <w:rPr>
          <w:color w:val="000000" w:themeColor="text1"/>
          <w:highlight w:val="none"/>
        </w:rPr>
      </w:pPr>
      <w:bookmarkStart w:id="181" w:name="_Toc503785397"/>
      <w:bookmarkStart w:id="182" w:name="_Toc497224195"/>
      <w:bookmarkStart w:id="183" w:name="_Toc332206677"/>
      <w:bookmarkStart w:id="184" w:name="_Toc339019984"/>
      <w:bookmarkStart w:id="185" w:name="_Toc337632327"/>
      <w:bookmarkStart w:id="186" w:name="_Toc336681904"/>
      <w:bookmarkStart w:id="187" w:name="_Toc342296729"/>
      <w:bookmarkStart w:id="188" w:name="_Toc333935315"/>
      <w:bookmarkStart w:id="189" w:name="_Toc333237757"/>
      <w:bookmarkStart w:id="190" w:name="_Toc339019858"/>
      <w:bookmarkStart w:id="191" w:name="_Toc340672838"/>
      <w:bookmarkStart w:id="192" w:name="_Toc333935656"/>
      <w:bookmarkStart w:id="193" w:name="_Toc333238602"/>
      <w:bookmarkStart w:id="194" w:name="_Toc342060343"/>
      <w:bookmarkStart w:id="195" w:name="_Toc349143558"/>
      <w:bookmarkStart w:id="196" w:name="_Toc331684007"/>
      <w:bookmarkStart w:id="197" w:name="_Toc339362269"/>
      <w:bookmarkStart w:id="198" w:name="_Toc340507411"/>
      <w:bookmarkStart w:id="199" w:name="_Toc336681549"/>
      <w:bookmarkStart w:id="200" w:name="_Toc339020202"/>
      <w:bookmarkStart w:id="201" w:name="_Toc345513836"/>
      <w:bookmarkStart w:id="202" w:name="_Toc332270315"/>
      <w:bookmarkStart w:id="203" w:name="_Toc350438718"/>
      <w:bookmarkStart w:id="204" w:name="_Toc339020064"/>
      <w:bookmarkStart w:id="205" w:name="_Toc365985148"/>
      <w:bookmarkStart w:id="206" w:name="_Toc331512867"/>
      <w:bookmarkStart w:id="207" w:name="_Toc333237646"/>
      <w:bookmarkStart w:id="208" w:name="_Toc330459954"/>
      <w:bookmarkStart w:id="209" w:name="_Toc340677039"/>
      <w:bookmarkStart w:id="210" w:name="_Toc349127595"/>
      <w:bookmarkStart w:id="211" w:name="_Toc4381"/>
      <w:bookmarkStart w:id="212" w:name="_Toc341348307"/>
      <w:bookmarkStart w:id="213" w:name="_Toc339441056"/>
      <w:bookmarkStart w:id="214" w:name="_Toc365967042"/>
      <w:bookmarkStart w:id="215" w:name="_Toc366072497"/>
      <w:bookmarkStart w:id="216" w:name="_Toc350756419"/>
      <w:r>
        <w:rPr>
          <w:rFonts w:hint="eastAsia"/>
          <w:color w:val="000000" w:themeColor="text1"/>
          <w:highlight w:val="none"/>
        </w:rPr>
        <w:t>适用范围</w:t>
      </w:r>
      <w:bookmarkEnd w:id="181"/>
      <w:bookmarkEnd w:id="182"/>
      <w:r>
        <w:rPr>
          <w:rFonts w:hint="eastAsia"/>
          <w:color w:val="000000" w:themeColor="text1"/>
          <w:highlight w:val="none"/>
        </w:rPr>
        <w:t>和资金来源</w:t>
      </w:r>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bookmarkStart w:id="217" w:name="_Toc342296730"/>
      <w:bookmarkStart w:id="218" w:name="_Toc333237647"/>
      <w:bookmarkStart w:id="219" w:name="_Toc342060344"/>
      <w:bookmarkStart w:id="220" w:name="_Toc333935657"/>
      <w:bookmarkStart w:id="221" w:name="_Toc332270316"/>
      <w:bookmarkStart w:id="222" w:name="_Toc349127596"/>
      <w:bookmarkStart w:id="223" w:name="_Toc350756420"/>
      <w:bookmarkStart w:id="224" w:name="_Toc341348308"/>
      <w:bookmarkStart w:id="225" w:name="_Toc374454571"/>
      <w:bookmarkStart w:id="226" w:name="_Toc339019859"/>
      <w:bookmarkStart w:id="227" w:name="_Toc333237758"/>
      <w:bookmarkStart w:id="228" w:name="_Toc366072498"/>
      <w:bookmarkStart w:id="229" w:name="_Toc330459955"/>
      <w:bookmarkStart w:id="230" w:name="_Toc365967043"/>
      <w:bookmarkStart w:id="231" w:name="_Toc333238603"/>
      <w:bookmarkStart w:id="232" w:name="_Toc339441057"/>
      <w:bookmarkStart w:id="233" w:name="_Toc497224196"/>
      <w:bookmarkStart w:id="234" w:name="_Toc336681905"/>
      <w:bookmarkStart w:id="235" w:name="_Toc339020065"/>
      <w:bookmarkStart w:id="236" w:name="_Toc345513837"/>
      <w:bookmarkStart w:id="237" w:name="_Toc333935316"/>
      <w:bookmarkStart w:id="238" w:name="_Toc340507412"/>
      <w:bookmarkStart w:id="239" w:name="_Toc331512868"/>
      <w:bookmarkStart w:id="240" w:name="_Toc339020203"/>
      <w:bookmarkStart w:id="241" w:name="_Toc503785398"/>
      <w:bookmarkStart w:id="242" w:name="_Toc340677040"/>
      <w:bookmarkStart w:id="243" w:name="_Toc331684008"/>
      <w:bookmarkStart w:id="244" w:name="_Toc365985149"/>
      <w:bookmarkStart w:id="245" w:name="_Toc337632328"/>
      <w:bookmarkStart w:id="246" w:name="_Toc350438719"/>
      <w:bookmarkStart w:id="247" w:name="_Toc336681550"/>
      <w:bookmarkStart w:id="248" w:name="_Toc332206678"/>
      <w:bookmarkStart w:id="249" w:name="_Toc339362270"/>
      <w:bookmarkStart w:id="250" w:name="_Toc339019985"/>
      <w:bookmarkStart w:id="251" w:name="_Toc340672839"/>
      <w:bookmarkStart w:id="252" w:name="_Toc349143559"/>
      <w:r>
        <w:rPr>
          <w:rFonts w:hint="eastAsia" w:ascii="宋体"/>
          <w:bCs/>
          <w:color w:val="000000" w:themeColor="text1"/>
          <w:highlight w:val="none"/>
        </w:rPr>
        <w:t>1</w:t>
      </w:r>
      <w:r>
        <w:rPr>
          <w:rFonts w:ascii="宋体"/>
          <w:bCs/>
          <w:color w:val="000000" w:themeColor="text1"/>
          <w:highlight w:val="none"/>
        </w:rPr>
        <w:t>.1</w:t>
      </w:r>
      <w:r>
        <w:rPr>
          <w:rFonts w:hint="eastAsia" w:ascii="宋体"/>
          <w:bCs/>
          <w:color w:val="000000" w:themeColor="text1"/>
          <w:highlight w:val="none"/>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3    本招标文件由代理采购机构负责解释。</w:t>
      </w:r>
    </w:p>
    <w:p>
      <w:pPr>
        <w:pStyle w:val="6"/>
        <w:numPr>
          <w:ilvl w:val="4"/>
          <w:numId w:val="41"/>
        </w:numPr>
        <w:tabs>
          <w:tab w:val="left" w:pos="720"/>
        </w:tabs>
        <w:spacing w:before="240" w:after="120"/>
        <w:ind w:left="2432" w:hanging="2432"/>
        <w:rPr>
          <w:color w:val="000000" w:themeColor="text1"/>
          <w:highlight w:val="none"/>
        </w:rPr>
      </w:pPr>
      <w:bookmarkStart w:id="253" w:name="_Toc28246"/>
      <w:r>
        <w:rPr>
          <w:rFonts w:hint="eastAsia"/>
          <w:color w:val="000000" w:themeColor="text1"/>
          <w:highlight w:val="none"/>
        </w:rPr>
        <w:t>定义</w:t>
      </w:r>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2.1</w:t>
      </w:r>
      <w:r>
        <w:rPr>
          <w:rFonts w:ascii="宋体"/>
          <w:bCs/>
          <w:color w:val="000000" w:themeColor="text1"/>
          <w:highlight w:val="none"/>
        </w:rPr>
        <w:tab/>
      </w:r>
      <w:r>
        <w:rPr>
          <w:rFonts w:hint="eastAsia" w:ascii="宋体"/>
          <w:bCs/>
          <w:color w:val="000000" w:themeColor="text1"/>
          <w:highlight w:val="none"/>
        </w:rPr>
        <w:t>“代理采购机构”系指组织本次招标的广东业信采购招标有限公司。</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bCs/>
          <w:color w:val="000000" w:themeColor="text1"/>
          <w:highlight w:val="none"/>
        </w:rPr>
        <w:t>2</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“投标人”系指</w:t>
      </w:r>
      <w:r>
        <w:rPr>
          <w:rFonts w:hint="eastAsia" w:ascii="宋体" w:hAnsi="宋体"/>
          <w:bCs/>
          <w:color w:val="000000" w:themeColor="text1"/>
          <w:highlight w:val="none"/>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rPr>
      </w:pPr>
      <w:r>
        <w:rPr>
          <w:rFonts w:hint="eastAsia" w:ascii="宋体"/>
          <w:bCs/>
          <w:color w:val="000000" w:themeColor="text1"/>
          <w:highlight w:val="none"/>
        </w:rPr>
        <w:t>2.3</w:t>
      </w:r>
      <w:r>
        <w:rPr>
          <w:rFonts w:hint="eastAsia" w:ascii="宋体"/>
          <w:bCs/>
          <w:color w:val="000000" w:themeColor="text1"/>
          <w:highlight w:val="none"/>
        </w:rPr>
        <w:tab/>
      </w:r>
      <w:r>
        <w:rPr>
          <w:rFonts w:hint="eastAsia" w:ascii="宋体"/>
          <w:bCs/>
          <w:color w:val="000000" w:themeColor="text1"/>
          <w:highlight w:val="none"/>
        </w:rPr>
        <w:t>“采购人”系指</w:t>
      </w:r>
      <w:r>
        <w:rPr>
          <w:rFonts w:hint="eastAsia" w:ascii="宋体"/>
          <w:bCs/>
          <w:color w:val="000000" w:themeColor="text1"/>
          <w:highlight w:val="none"/>
          <w:lang w:eastAsia="zh-CN"/>
        </w:rPr>
        <w:t>阳江市银岭科技新城开发有限公司</w:t>
      </w:r>
      <w:r>
        <w:rPr>
          <w:rFonts w:hint="eastAsia" w:ascii="宋体"/>
          <w:bCs/>
          <w:color w:val="000000" w:themeColor="text1"/>
          <w:highlight w:val="none"/>
        </w:rPr>
        <w:t>，即项目采购用户方。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bCs/>
          <w:color w:val="000000" w:themeColor="text1"/>
          <w:highlight w:val="none"/>
        </w:rPr>
        <w:t>2.4</w:t>
      </w:r>
      <w:r>
        <w:rPr>
          <w:rFonts w:hint="eastAsia" w:ascii="宋体"/>
          <w:bCs/>
          <w:color w:val="000000" w:themeColor="text1"/>
          <w:highlight w:val="none"/>
        </w:rPr>
        <w:tab/>
      </w:r>
      <w:r>
        <w:rPr>
          <w:rFonts w:ascii="宋体" w:hAnsi="宋体"/>
          <w:bCs/>
          <w:color w:val="000000" w:themeColor="text1"/>
          <w:highlight w:val="none"/>
        </w:rPr>
        <w:t>“</w:t>
      </w:r>
      <w:r>
        <w:rPr>
          <w:rFonts w:hint="eastAsia" w:ascii="宋体" w:hAnsi="宋体"/>
          <w:bCs/>
          <w:color w:val="000000" w:themeColor="text1"/>
          <w:highlight w:val="none"/>
        </w:rPr>
        <w:t>货物</w:t>
      </w:r>
      <w:r>
        <w:rPr>
          <w:rFonts w:ascii="宋体" w:hAnsi="宋体"/>
          <w:bCs/>
          <w:color w:val="000000" w:themeColor="text1"/>
          <w:highlight w:val="none"/>
        </w:rPr>
        <w:t>”</w:t>
      </w:r>
      <w:r>
        <w:rPr>
          <w:rFonts w:hint="eastAsia" w:ascii="宋体" w:hAnsi="宋体"/>
          <w:bCs/>
          <w:color w:val="000000" w:themeColor="text1"/>
          <w:highlight w:val="none"/>
        </w:rPr>
        <w:t>系指投标人根据招标文件规定，须向采购人提供的设备、材料、备品备件、工具、使用手册、软件及有关技术资料等。</w:t>
      </w:r>
    </w:p>
    <w:p>
      <w:pPr>
        <w:widowControl/>
        <w:numPr>
          <w:ilvl w:val="1"/>
          <w:numId w:val="42"/>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42"/>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“日”系指日历天。</w:t>
      </w:r>
    </w:p>
    <w:p>
      <w:pPr>
        <w:widowControl/>
        <w:numPr>
          <w:ilvl w:val="1"/>
          <w:numId w:val="42"/>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“工作日”系指国家规定除法定节假日以外的以日</w:t>
      </w:r>
      <w:r>
        <w:rPr>
          <w:rFonts w:ascii="宋体" w:hAnsi="宋体"/>
          <w:bCs/>
          <w:color w:val="000000" w:themeColor="text1"/>
          <w:highlight w:val="none"/>
        </w:rPr>
        <w:t>为计算单位的工作时间</w:t>
      </w:r>
      <w:r>
        <w:rPr>
          <w:rFonts w:hint="eastAsia" w:ascii="宋体" w:hAnsi="宋体"/>
          <w:bCs/>
          <w:color w:val="000000" w:themeColor="text1"/>
          <w:highlight w:val="none"/>
        </w:rPr>
        <w:t>。</w:t>
      </w:r>
    </w:p>
    <w:p>
      <w:pPr>
        <w:pStyle w:val="6"/>
        <w:numPr>
          <w:ilvl w:val="4"/>
          <w:numId w:val="41"/>
        </w:numPr>
        <w:tabs>
          <w:tab w:val="left" w:pos="720"/>
        </w:tabs>
        <w:spacing w:before="240" w:after="120"/>
        <w:ind w:left="2432" w:hanging="2432"/>
        <w:rPr>
          <w:color w:val="000000" w:themeColor="text1"/>
          <w:highlight w:val="none"/>
        </w:rPr>
      </w:pPr>
      <w:bookmarkStart w:id="254" w:name="_Toc503785399"/>
      <w:bookmarkStart w:id="255" w:name="_Toc497224197"/>
      <w:bookmarkStart w:id="256" w:name="_Toc349143560"/>
      <w:bookmarkStart w:id="257" w:name="_Toc342296731"/>
      <w:bookmarkStart w:id="258" w:name="_Toc331512869"/>
      <w:bookmarkStart w:id="259" w:name="_Toc349127597"/>
      <w:bookmarkStart w:id="260" w:name="_Toc333237648"/>
      <w:bookmarkStart w:id="261" w:name="_Toc333238604"/>
      <w:bookmarkStart w:id="262" w:name="_Toc336681906"/>
      <w:bookmarkStart w:id="263" w:name="_Toc340507413"/>
      <w:bookmarkStart w:id="264" w:name="_Toc339020204"/>
      <w:bookmarkStart w:id="265" w:name="_Toc341348309"/>
      <w:bookmarkStart w:id="266" w:name="_Toc336681551"/>
      <w:bookmarkStart w:id="267" w:name="_Toc339019986"/>
      <w:bookmarkStart w:id="268" w:name="_Toc333237759"/>
      <w:bookmarkStart w:id="269" w:name="_Toc332206679"/>
      <w:bookmarkStart w:id="270" w:name="_Toc350756421"/>
      <w:bookmarkStart w:id="271" w:name="_Toc350438720"/>
      <w:bookmarkStart w:id="272" w:name="_Toc366072499"/>
      <w:bookmarkStart w:id="273" w:name="_Toc365985150"/>
      <w:bookmarkStart w:id="274" w:name="_Toc339019860"/>
      <w:bookmarkStart w:id="275" w:name="_Toc340677041"/>
      <w:bookmarkStart w:id="276" w:name="_Toc342060345"/>
      <w:bookmarkStart w:id="277" w:name="_Toc333935317"/>
      <w:bookmarkStart w:id="278" w:name="_Toc333935658"/>
      <w:bookmarkStart w:id="279" w:name="_Toc365967044"/>
      <w:bookmarkStart w:id="280" w:name="_Toc330459956"/>
      <w:bookmarkStart w:id="281" w:name="_Toc339441058"/>
      <w:bookmarkStart w:id="282" w:name="_Toc339362271"/>
      <w:bookmarkStart w:id="283" w:name="_Toc339020066"/>
      <w:bookmarkStart w:id="284" w:name="_Toc331684009"/>
      <w:bookmarkStart w:id="285" w:name="_Toc332270317"/>
      <w:bookmarkStart w:id="286" w:name="_Toc345513838"/>
      <w:bookmarkStart w:id="287" w:name="_Toc340672840"/>
      <w:bookmarkStart w:id="288" w:name="_Toc374454572"/>
      <w:bookmarkStart w:id="289" w:name="_Toc337632329"/>
      <w:bookmarkStart w:id="290" w:name="_Toc17243"/>
      <w:r>
        <w:rPr>
          <w:rFonts w:hint="eastAsia"/>
          <w:color w:val="000000" w:themeColor="text1"/>
          <w:highlight w:val="none"/>
        </w:rPr>
        <w:t>合格的</w:t>
      </w:r>
      <w:bookmarkEnd w:id="254"/>
      <w:bookmarkEnd w:id="255"/>
      <w:r>
        <w:rPr>
          <w:rFonts w:hint="eastAsia"/>
          <w:color w:val="000000" w:themeColor="text1"/>
          <w:highlight w:val="none"/>
        </w:rPr>
        <w:t>投标人</w:t>
      </w:r>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3.1</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hAnsi="宋体"/>
          <w:bCs/>
          <w:color w:val="000000" w:themeColor="text1"/>
          <w:highlight w:val="none"/>
        </w:rPr>
        <w:t>国内有能力提供采购项目相关的工程、货物和服务且符合本项目合格投标人资格条件的投标人</w:t>
      </w:r>
      <w:r>
        <w:rPr>
          <w:rFonts w:hint="eastAsia" w:ascii="宋体"/>
          <w:bCs/>
          <w:color w:val="000000" w:themeColor="text1"/>
          <w:highlight w:val="none"/>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3.2</w:t>
      </w:r>
      <w:r>
        <w:rPr>
          <w:rFonts w:ascii="宋体"/>
          <w:bCs/>
          <w:color w:val="000000" w:themeColor="text1"/>
          <w:highlight w:val="none"/>
        </w:rPr>
        <w:tab/>
      </w:r>
      <w:r>
        <w:rPr>
          <w:rFonts w:hint="eastAsia" w:ascii="宋体"/>
          <w:bCs/>
          <w:color w:val="000000" w:themeColor="text1"/>
          <w:highlight w:val="none"/>
        </w:rPr>
        <w:tab/>
      </w:r>
      <w:r>
        <w:rPr>
          <w:rFonts w:hint="eastAsia" w:ascii="宋体" w:hAnsi="宋体"/>
          <w:bCs/>
          <w:color w:val="000000" w:themeColor="text1"/>
          <w:highlight w:val="none"/>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3.3    </w:t>
      </w:r>
      <w:r>
        <w:rPr>
          <w:rFonts w:ascii="宋体" w:hAnsi="宋体"/>
          <w:bCs/>
          <w:color w:val="000000" w:themeColor="text1"/>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3.4     </w:t>
      </w:r>
      <w:r>
        <w:rPr>
          <w:rFonts w:ascii="宋体" w:hAnsi="宋体"/>
          <w:bCs/>
          <w:color w:val="000000" w:themeColor="text1"/>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3.5    </w:t>
      </w:r>
      <w:r>
        <w:rPr>
          <w:rFonts w:ascii="宋体" w:hAnsi="宋体"/>
          <w:bCs/>
          <w:color w:val="000000" w:themeColor="text1"/>
          <w:szCs w:val="21"/>
          <w:highlight w:val="none"/>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szCs w:val="21"/>
          <w:highlight w:val="none"/>
        </w:rPr>
        <w:t xml:space="preserve">3.6    </w:t>
      </w:r>
      <w:r>
        <w:rPr>
          <w:bCs/>
          <w:color w:val="000000" w:themeColor="text1"/>
          <w:szCs w:val="21"/>
          <w:highlight w:val="none"/>
        </w:rPr>
        <w:t>专门面向中小微企业采购的项目，只能由中小企业或微型企业参加。</w:t>
      </w:r>
    </w:p>
    <w:p>
      <w:pPr>
        <w:pStyle w:val="6"/>
        <w:numPr>
          <w:ilvl w:val="4"/>
          <w:numId w:val="41"/>
        </w:numPr>
        <w:tabs>
          <w:tab w:val="left" w:pos="720"/>
        </w:tabs>
        <w:spacing w:before="240" w:after="120"/>
        <w:ind w:left="2432" w:hanging="2432"/>
        <w:rPr>
          <w:color w:val="000000" w:themeColor="text1"/>
          <w:highlight w:val="none"/>
        </w:rPr>
      </w:pPr>
      <w:bookmarkStart w:id="291" w:name="_Toc497224198"/>
      <w:bookmarkStart w:id="292" w:name="_Toc503785400"/>
      <w:bookmarkStart w:id="293" w:name="_Toc333237649"/>
      <w:bookmarkStart w:id="294" w:name="_Toc342296732"/>
      <w:bookmarkStart w:id="295" w:name="_Toc340677042"/>
      <w:bookmarkStart w:id="296" w:name="_Toc339019861"/>
      <w:bookmarkStart w:id="297" w:name="_Toc330459957"/>
      <w:bookmarkStart w:id="298" w:name="_Toc337632330"/>
      <w:bookmarkStart w:id="299" w:name="_Toc331512870"/>
      <w:bookmarkStart w:id="300" w:name="_Toc333237760"/>
      <w:bookmarkStart w:id="301" w:name="_Toc365985151"/>
      <w:bookmarkStart w:id="302" w:name="_Toc345513839"/>
      <w:bookmarkStart w:id="303" w:name="_Toc333238605"/>
      <w:bookmarkStart w:id="304" w:name="_Toc339020205"/>
      <w:bookmarkStart w:id="305" w:name="_Toc365967045"/>
      <w:bookmarkStart w:id="306" w:name="_Toc366072500"/>
      <w:bookmarkStart w:id="307" w:name="_Toc341348310"/>
      <w:bookmarkStart w:id="308" w:name="_Toc342060346"/>
      <w:bookmarkStart w:id="309" w:name="_Toc374454573"/>
      <w:bookmarkStart w:id="310" w:name="_Toc339020067"/>
      <w:bookmarkStart w:id="311" w:name="_Toc336681907"/>
      <w:bookmarkStart w:id="312" w:name="_Toc340672841"/>
      <w:bookmarkStart w:id="313" w:name="_Toc350438721"/>
      <w:bookmarkStart w:id="314" w:name="_Toc331684010"/>
      <w:bookmarkStart w:id="315" w:name="_Toc336681552"/>
      <w:bookmarkStart w:id="316" w:name="_Toc333935318"/>
      <w:bookmarkStart w:id="317" w:name="_Toc350756422"/>
      <w:bookmarkStart w:id="318" w:name="_Toc332270318"/>
      <w:bookmarkStart w:id="319" w:name="_Toc339441059"/>
      <w:bookmarkStart w:id="320" w:name="_Toc339019987"/>
      <w:bookmarkStart w:id="321" w:name="_Toc332206680"/>
      <w:bookmarkStart w:id="322" w:name="_Toc340507414"/>
      <w:bookmarkStart w:id="323" w:name="_Toc349127598"/>
      <w:bookmarkStart w:id="324" w:name="_Toc349143561"/>
      <w:bookmarkStart w:id="325" w:name="_Toc5874"/>
      <w:bookmarkStart w:id="326" w:name="_Toc339362272"/>
      <w:bookmarkStart w:id="327" w:name="_Toc333935659"/>
      <w:r>
        <w:rPr>
          <w:rFonts w:hint="eastAsia"/>
          <w:color w:val="000000" w:themeColor="text1"/>
          <w:highlight w:val="none"/>
        </w:rPr>
        <w:t>投标费用</w:t>
      </w:r>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4.1</w:t>
      </w:r>
      <w:r>
        <w:rPr>
          <w:rFonts w:hint="eastAsia" w:ascii="宋体"/>
          <w:bCs/>
          <w:color w:val="000000" w:themeColor="text1"/>
          <w:highlight w:val="none"/>
        </w:rPr>
        <w:tab/>
      </w:r>
      <w:r>
        <w:rPr>
          <w:rFonts w:hint="eastAsia" w:hAnsi="宋体"/>
          <w:color w:val="000000" w:themeColor="text1"/>
          <w:highlight w:val="none"/>
        </w:rPr>
        <w:t>投标人应承担所有与准备和参加投标有关的费用。不论投标的结果如何，代理采购机构和采购人均无义务和责任承担这些费用</w:t>
      </w:r>
      <w:r>
        <w:rPr>
          <w:rFonts w:hint="eastAsia" w:ascii="宋体"/>
          <w:bCs/>
          <w:color w:val="000000" w:themeColor="text1"/>
          <w:highlight w:val="none"/>
        </w:rPr>
        <w:t>。</w:t>
      </w:r>
      <w:bookmarkStart w:id="328" w:name="_Toc365967046"/>
      <w:bookmarkStart w:id="329" w:name="_Toc339019988"/>
      <w:bookmarkStart w:id="330" w:name="_Toc333935319"/>
      <w:bookmarkStart w:id="331" w:name="_Toc336681553"/>
      <w:bookmarkStart w:id="332" w:name="_Toc342296733"/>
      <w:bookmarkStart w:id="333" w:name="_Toc331684011"/>
      <w:bookmarkStart w:id="334" w:name="_Toc332206681"/>
      <w:bookmarkStart w:id="335" w:name="_Toc345513840"/>
      <w:bookmarkStart w:id="336" w:name="_Toc350438722"/>
      <w:bookmarkStart w:id="337" w:name="_Toc340507415"/>
      <w:bookmarkStart w:id="338" w:name="_Toc336681908"/>
      <w:bookmarkStart w:id="339" w:name="_Toc339020206"/>
      <w:bookmarkStart w:id="340" w:name="_Toc339441060"/>
      <w:bookmarkStart w:id="341" w:name="_Toc503785401"/>
      <w:bookmarkStart w:id="342" w:name="_Toc341348311"/>
      <w:bookmarkStart w:id="343" w:name="_Toc332270319"/>
      <w:bookmarkStart w:id="344" w:name="_Toc333935660"/>
      <w:bookmarkStart w:id="345" w:name="_Toc333238606"/>
      <w:bookmarkStart w:id="346" w:name="_Toc349127599"/>
      <w:bookmarkStart w:id="347" w:name="_Toc366072501"/>
      <w:bookmarkStart w:id="348" w:name="_Toc333237761"/>
      <w:bookmarkStart w:id="349" w:name="_Toc333237650"/>
      <w:bookmarkStart w:id="350" w:name="_Toc497224199"/>
      <w:bookmarkStart w:id="351" w:name="_Toc365985152"/>
      <w:bookmarkStart w:id="352" w:name="_Toc350756423"/>
      <w:bookmarkStart w:id="353" w:name="_Toc342060347"/>
      <w:bookmarkStart w:id="354" w:name="_Toc339019862"/>
      <w:bookmarkStart w:id="355" w:name="_Toc349143562"/>
      <w:bookmarkStart w:id="356" w:name="_Toc340677043"/>
      <w:bookmarkStart w:id="357" w:name="_Toc337632331"/>
      <w:bookmarkStart w:id="358" w:name="_Toc374454574"/>
      <w:bookmarkStart w:id="359" w:name="_Toc330459958"/>
      <w:bookmarkStart w:id="360" w:name="_Toc340672842"/>
      <w:bookmarkStart w:id="361" w:name="_Toc331512871"/>
      <w:bookmarkStart w:id="362" w:name="_Toc339362273"/>
      <w:bookmarkStart w:id="363" w:name="_Toc339020068"/>
    </w:p>
    <w:p>
      <w:pPr>
        <w:pStyle w:val="4"/>
        <w:numPr>
          <w:ilvl w:val="0"/>
          <w:numId w:val="0"/>
        </w:numPr>
        <w:rPr>
          <w:color w:val="000000" w:themeColor="text1"/>
          <w:sz w:val="24"/>
          <w:highlight w:val="none"/>
        </w:rPr>
      </w:pPr>
      <w:bookmarkStart w:id="364" w:name="_Toc6702"/>
      <w:r>
        <w:rPr>
          <w:rFonts w:hint="eastAsia"/>
          <w:color w:val="000000" w:themeColor="text1"/>
          <w:sz w:val="24"/>
          <w:highlight w:val="none"/>
        </w:rPr>
        <w:t>Ｂ</w:t>
      </w:r>
      <w:r>
        <w:rPr>
          <w:color w:val="000000" w:themeColor="text1"/>
          <w:sz w:val="24"/>
          <w:highlight w:val="none"/>
        </w:rPr>
        <w:t xml:space="preserve">  </w:t>
      </w:r>
      <w:r>
        <w:rPr>
          <w:rFonts w:hint="eastAsia"/>
          <w:color w:val="000000" w:themeColor="text1"/>
          <w:sz w:val="24"/>
          <w:highlight w:val="none"/>
        </w:rPr>
        <w:t>招标文件说明</w:t>
      </w:r>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p>
    <w:p>
      <w:pPr>
        <w:pStyle w:val="6"/>
        <w:numPr>
          <w:ilvl w:val="4"/>
          <w:numId w:val="41"/>
        </w:numPr>
        <w:tabs>
          <w:tab w:val="left" w:pos="720"/>
        </w:tabs>
        <w:spacing w:before="240" w:after="120"/>
        <w:ind w:left="2432" w:hanging="2432"/>
        <w:rPr>
          <w:color w:val="000000" w:themeColor="text1"/>
          <w:highlight w:val="none"/>
        </w:rPr>
      </w:pPr>
      <w:bookmarkStart w:id="365" w:name="_Toc340672843"/>
      <w:bookmarkStart w:id="366" w:name="_Toc332206682"/>
      <w:bookmarkStart w:id="367" w:name="_Toc339019863"/>
      <w:bookmarkStart w:id="368" w:name="_Toc345513841"/>
      <w:bookmarkStart w:id="369" w:name="_Toc339020069"/>
      <w:bookmarkStart w:id="370" w:name="_Toc365985153"/>
      <w:bookmarkStart w:id="371" w:name="_Toc340507416"/>
      <w:bookmarkStart w:id="372" w:name="_Toc340677044"/>
      <w:bookmarkStart w:id="373" w:name="_Toc331684012"/>
      <w:bookmarkStart w:id="374" w:name="_Toc350438723"/>
      <w:bookmarkStart w:id="375" w:name="_Toc349143563"/>
      <w:bookmarkStart w:id="376" w:name="_Toc374454575"/>
      <w:bookmarkStart w:id="377" w:name="_Toc336681554"/>
      <w:bookmarkStart w:id="378" w:name="_Toc333935320"/>
      <w:bookmarkStart w:id="379" w:name="_Toc365967047"/>
      <w:bookmarkStart w:id="380" w:name="_Toc342296734"/>
      <w:bookmarkStart w:id="381" w:name="_Toc342060348"/>
      <w:bookmarkStart w:id="382" w:name="_Toc339362274"/>
      <w:bookmarkStart w:id="383" w:name="_Toc333237651"/>
      <w:bookmarkStart w:id="384" w:name="_Toc339441061"/>
      <w:bookmarkStart w:id="385" w:name="_Toc29859"/>
      <w:bookmarkStart w:id="386" w:name="_Toc341348312"/>
      <w:bookmarkStart w:id="387" w:name="_Toc503785402"/>
      <w:bookmarkStart w:id="388" w:name="_Toc332270320"/>
      <w:bookmarkStart w:id="389" w:name="_Toc497224200"/>
      <w:bookmarkStart w:id="390" w:name="_Toc350756424"/>
      <w:bookmarkStart w:id="391" w:name="_Toc337632332"/>
      <w:bookmarkStart w:id="392" w:name="_Toc339019989"/>
      <w:bookmarkStart w:id="393" w:name="_Toc333935661"/>
      <w:bookmarkStart w:id="394" w:name="_Toc331512872"/>
      <w:bookmarkStart w:id="395" w:name="_Toc336681909"/>
      <w:bookmarkStart w:id="396" w:name="_Toc333237762"/>
      <w:bookmarkStart w:id="397" w:name="_Toc333238607"/>
      <w:bookmarkStart w:id="398" w:name="_Toc349127600"/>
      <w:bookmarkStart w:id="399" w:name="_Toc330459959"/>
      <w:bookmarkStart w:id="400" w:name="_Toc366072502"/>
      <w:bookmarkStart w:id="401" w:name="_Toc339020207"/>
      <w:r>
        <w:rPr>
          <w:rFonts w:hint="eastAsia"/>
          <w:color w:val="000000" w:themeColor="text1"/>
          <w:highlight w:val="none"/>
        </w:rPr>
        <w:t>招标文件的构成</w:t>
      </w:r>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5.1</w:t>
      </w:r>
      <w:r>
        <w:rPr>
          <w:rFonts w:ascii="宋体"/>
          <w:bCs/>
          <w:color w:val="000000" w:themeColor="text1"/>
          <w:highlight w:val="none"/>
        </w:rPr>
        <w:tab/>
      </w:r>
      <w:r>
        <w:rPr>
          <w:rFonts w:hint="eastAsia" w:ascii="宋体"/>
          <w:bCs/>
          <w:color w:val="000000" w:themeColor="text1"/>
          <w:highlight w:val="none"/>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5.2</w:t>
      </w:r>
      <w:r>
        <w:rPr>
          <w:rFonts w:ascii="宋体"/>
          <w:bCs/>
          <w:color w:val="000000" w:themeColor="text1"/>
          <w:highlight w:val="none"/>
        </w:rPr>
        <w:tab/>
      </w:r>
      <w:r>
        <w:rPr>
          <w:rFonts w:hint="eastAsia" w:ascii="宋体"/>
          <w:bCs/>
          <w:color w:val="000000" w:themeColor="text1"/>
          <w:highlight w:val="none"/>
        </w:rPr>
        <w:t>招标文件以中文编印。</w:t>
      </w:r>
    </w:p>
    <w:p>
      <w:pPr>
        <w:pStyle w:val="6"/>
        <w:numPr>
          <w:ilvl w:val="4"/>
          <w:numId w:val="41"/>
        </w:numPr>
        <w:tabs>
          <w:tab w:val="left" w:pos="720"/>
        </w:tabs>
        <w:spacing w:before="240" w:after="120"/>
        <w:ind w:left="2432" w:hanging="2432"/>
        <w:rPr>
          <w:color w:val="000000" w:themeColor="text1"/>
          <w:highlight w:val="none"/>
        </w:rPr>
      </w:pPr>
      <w:bookmarkStart w:id="402" w:name="_Toc342296735"/>
      <w:bookmarkStart w:id="403" w:name="_Toc333935321"/>
      <w:bookmarkStart w:id="404" w:name="_Toc345513842"/>
      <w:bookmarkStart w:id="405" w:name="_Toc333238608"/>
      <w:bookmarkStart w:id="406" w:name="_Toc339362275"/>
      <w:bookmarkStart w:id="407" w:name="_Toc350756425"/>
      <w:bookmarkStart w:id="408" w:name="_Toc332270321"/>
      <w:bookmarkStart w:id="409" w:name="_Toc339019864"/>
      <w:bookmarkStart w:id="410" w:name="_Toc342060349"/>
      <w:bookmarkStart w:id="411" w:name="_Toc365985154"/>
      <w:bookmarkStart w:id="412" w:name="_Toc333935662"/>
      <w:bookmarkStart w:id="413" w:name="_Toc365967048"/>
      <w:bookmarkStart w:id="414" w:name="_Toc339020208"/>
      <w:bookmarkStart w:id="415" w:name="_Toc333237652"/>
      <w:bookmarkStart w:id="416" w:name="_Toc340677045"/>
      <w:bookmarkStart w:id="417" w:name="_Toc330459960"/>
      <w:bookmarkStart w:id="418" w:name="_Toc331512873"/>
      <w:bookmarkStart w:id="419" w:name="_Toc349143564"/>
      <w:bookmarkStart w:id="420" w:name="_Toc337632333"/>
      <w:bookmarkStart w:id="421" w:name="_Toc340672844"/>
      <w:bookmarkStart w:id="422" w:name="_Toc339441062"/>
      <w:bookmarkStart w:id="423" w:name="_Toc497224201"/>
      <w:bookmarkStart w:id="424" w:name="_Toc340507417"/>
      <w:bookmarkStart w:id="425" w:name="_Toc341348313"/>
      <w:bookmarkStart w:id="426" w:name="_Toc349127601"/>
      <w:bookmarkStart w:id="427" w:name="_Toc332206683"/>
      <w:bookmarkStart w:id="428" w:name="_Toc503785403"/>
      <w:bookmarkStart w:id="429" w:name="_Toc339019990"/>
      <w:bookmarkStart w:id="430" w:name="_Toc331684013"/>
      <w:bookmarkStart w:id="431" w:name="_Toc370388389"/>
      <w:bookmarkStart w:id="432" w:name="_Toc350438724"/>
      <w:bookmarkStart w:id="433" w:name="_Toc336681910"/>
      <w:bookmarkStart w:id="434" w:name="_Toc339020070"/>
      <w:bookmarkStart w:id="435" w:name="_Toc333237763"/>
      <w:bookmarkStart w:id="436" w:name="_Toc336681555"/>
      <w:bookmarkStart w:id="437" w:name="_Toc374454576"/>
      <w:bookmarkStart w:id="438" w:name="_Toc24116"/>
      <w:bookmarkStart w:id="439" w:name="_Toc503785405"/>
      <w:bookmarkStart w:id="440" w:name="_Toc497224203"/>
      <w:bookmarkStart w:id="441" w:name="_Toc331512875"/>
      <w:bookmarkStart w:id="442" w:name="_Toc339019992"/>
      <w:bookmarkStart w:id="443" w:name="_Toc342060351"/>
      <w:bookmarkStart w:id="444" w:name="_Toc337632335"/>
      <w:bookmarkStart w:id="445" w:name="_Toc339019866"/>
      <w:bookmarkStart w:id="446" w:name="_Toc365985156"/>
      <w:bookmarkStart w:id="447" w:name="_Toc349127603"/>
      <w:bookmarkStart w:id="448" w:name="_Toc331684015"/>
      <w:bookmarkStart w:id="449" w:name="_Toc341348315"/>
      <w:bookmarkStart w:id="450" w:name="_Toc349143566"/>
      <w:bookmarkStart w:id="451" w:name="_Toc340677047"/>
      <w:bookmarkStart w:id="452" w:name="_Toc366072505"/>
      <w:bookmarkStart w:id="453" w:name="_Toc332206685"/>
      <w:bookmarkStart w:id="454" w:name="_Toc333237765"/>
      <w:bookmarkStart w:id="455" w:name="_Toc350438726"/>
      <w:bookmarkStart w:id="456" w:name="_Toc350756427"/>
      <w:bookmarkStart w:id="457" w:name="_Toc330459962"/>
      <w:bookmarkStart w:id="458" w:name="_Toc345513844"/>
      <w:bookmarkStart w:id="459" w:name="_Toc339362277"/>
      <w:bookmarkStart w:id="460" w:name="_Toc336681557"/>
      <w:bookmarkStart w:id="461" w:name="_Toc339441064"/>
      <w:bookmarkStart w:id="462" w:name="_Toc332270323"/>
      <w:bookmarkStart w:id="463" w:name="_Toc333935664"/>
      <w:bookmarkStart w:id="464" w:name="_Toc342296737"/>
      <w:bookmarkStart w:id="465" w:name="_Toc333238610"/>
      <w:bookmarkStart w:id="466" w:name="_Toc336681912"/>
      <w:bookmarkStart w:id="467" w:name="_Toc339020072"/>
      <w:bookmarkStart w:id="468" w:name="_Toc365967050"/>
      <w:bookmarkStart w:id="469" w:name="_Toc333935323"/>
      <w:bookmarkStart w:id="470" w:name="_Toc333237654"/>
      <w:bookmarkStart w:id="471" w:name="_Toc340672846"/>
      <w:bookmarkStart w:id="472" w:name="_Toc340507419"/>
      <w:bookmarkStart w:id="473" w:name="_Toc339020210"/>
      <w:r>
        <w:rPr>
          <w:rFonts w:hint="eastAsia"/>
          <w:color w:val="000000" w:themeColor="text1"/>
          <w:highlight w:val="none"/>
        </w:rPr>
        <w:t>招标文件的澄清</w:t>
      </w:r>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r>
        <w:rPr>
          <w:rFonts w:hint="eastAsia"/>
          <w:color w:val="000000" w:themeColor="text1"/>
          <w:highlight w:val="none"/>
        </w:rPr>
        <w:t>、修改</w:t>
      </w:r>
      <w:bookmarkEnd w:id="437"/>
      <w:bookmarkEnd w:id="438"/>
    </w:p>
    <w:p>
      <w:pPr>
        <w:widowControl/>
        <w:numPr>
          <w:ilvl w:val="1"/>
          <w:numId w:val="43"/>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43"/>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澄清或修改时间距投标截止时间不足15日的，采购人或代理采购机构在征得已获取招标文件的投标人同意并书面确认后，可不改变投标截止时间。</w:t>
      </w:r>
    </w:p>
    <w:p>
      <w:pPr>
        <w:pStyle w:val="4"/>
        <w:numPr>
          <w:ilvl w:val="0"/>
          <w:numId w:val="0"/>
        </w:numPr>
        <w:rPr>
          <w:color w:val="000000" w:themeColor="text1"/>
          <w:sz w:val="24"/>
          <w:highlight w:val="none"/>
        </w:rPr>
      </w:pPr>
      <w:bookmarkStart w:id="474" w:name="_Toc374454577"/>
      <w:r>
        <w:rPr>
          <w:color w:val="000000" w:themeColor="text1"/>
          <w:sz w:val="24"/>
          <w:highlight w:val="none"/>
        </w:rPr>
        <w:br w:type="page"/>
      </w:r>
      <w:bookmarkStart w:id="475" w:name="_Toc1634"/>
      <w:r>
        <w:rPr>
          <w:rFonts w:hint="eastAsia"/>
          <w:color w:val="000000" w:themeColor="text1"/>
          <w:sz w:val="24"/>
          <w:highlight w:val="none"/>
        </w:rPr>
        <w:t>Ｃ</w:t>
      </w:r>
      <w:r>
        <w:rPr>
          <w:color w:val="000000" w:themeColor="text1"/>
          <w:sz w:val="24"/>
          <w:highlight w:val="none"/>
        </w:rPr>
        <w:t xml:space="preserve">  </w:t>
      </w:r>
      <w:r>
        <w:rPr>
          <w:rFonts w:hint="eastAsia"/>
          <w:color w:val="000000" w:themeColor="text1"/>
          <w:sz w:val="24"/>
          <w:highlight w:val="none"/>
        </w:rPr>
        <w:t>投标文件的编</w:t>
      </w:r>
      <w:bookmarkEnd w:id="439"/>
      <w:bookmarkEnd w:id="440"/>
      <w:r>
        <w:rPr>
          <w:rFonts w:hint="eastAsia"/>
          <w:color w:val="000000" w:themeColor="text1"/>
          <w:sz w:val="24"/>
          <w:highlight w:val="none"/>
        </w:rPr>
        <w:t>制</w:t>
      </w:r>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p>
    <w:p>
      <w:pPr>
        <w:pStyle w:val="6"/>
        <w:numPr>
          <w:ilvl w:val="4"/>
          <w:numId w:val="41"/>
        </w:numPr>
        <w:tabs>
          <w:tab w:val="left" w:pos="720"/>
        </w:tabs>
        <w:spacing w:before="240" w:after="120"/>
        <w:ind w:left="2432" w:hanging="2432"/>
        <w:rPr>
          <w:color w:val="000000" w:themeColor="text1"/>
          <w:highlight w:val="none"/>
        </w:rPr>
      </w:pPr>
      <w:bookmarkStart w:id="476" w:name="_Toc340672847"/>
      <w:bookmarkStart w:id="477" w:name="_Toc366072506"/>
      <w:bookmarkStart w:id="478" w:name="_Toc331512876"/>
      <w:bookmarkStart w:id="479" w:name="_Toc349127604"/>
      <w:bookmarkStart w:id="480" w:name="_Toc339362278"/>
      <w:bookmarkStart w:id="481" w:name="_Toc342296738"/>
      <w:bookmarkStart w:id="482" w:name="_Toc339019867"/>
      <w:bookmarkStart w:id="483" w:name="_Toc331684016"/>
      <w:bookmarkStart w:id="484" w:name="_Toc340677048"/>
      <w:bookmarkStart w:id="485" w:name="_Toc336681913"/>
      <w:bookmarkStart w:id="486" w:name="_Toc330459963"/>
      <w:bookmarkStart w:id="487" w:name="_Toc333237766"/>
      <w:bookmarkStart w:id="488" w:name="_Toc333238611"/>
      <w:bookmarkStart w:id="489" w:name="_Toc341348316"/>
      <w:bookmarkStart w:id="490" w:name="_Toc333935665"/>
      <w:bookmarkStart w:id="491" w:name="_Toc336681558"/>
      <w:bookmarkStart w:id="492" w:name="_Toc333935324"/>
      <w:bookmarkStart w:id="493" w:name="_Toc339019993"/>
      <w:bookmarkStart w:id="494" w:name="_Toc12328"/>
      <w:bookmarkStart w:id="495" w:name="_Toc337632336"/>
      <w:bookmarkStart w:id="496" w:name="_Toc342060352"/>
      <w:bookmarkStart w:id="497" w:name="_Toc332206686"/>
      <w:bookmarkStart w:id="498" w:name="_Toc374454578"/>
      <w:bookmarkStart w:id="499" w:name="_Toc333237655"/>
      <w:bookmarkStart w:id="500" w:name="_Toc503785406"/>
      <w:bookmarkStart w:id="501" w:name="_Toc340507420"/>
      <w:bookmarkStart w:id="502" w:name="_Toc332270324"/>
      <w:bookmarkStart w:id="503" w:name="_Toc345513845"/>
      <w:bookmarkStart w:id="504" w:name="_Toc350438727"/>
      <w:bookmarkStart w:id="505" w:name="_Toc365967051"/>
      <w:bookmarkStart w:id="506" w:name="_Toc339020073"/>
      <w:bookmarkStart w:id="507" w:name="_Toc339020211"/>
      <w:bookmarkStart w:id="508" w:name="_Toc349143567"/>
      <w:bookmarkStart w:id="509" w:name="_Toc339441065"/>
      <w:bookmarkStart w:id="510" w:name="_Toc350756428"/>
      <w:bookmarkStart w:id="511" w:name="_Toc365985157"/>
      <w:bookmarkStart w:id="512" w:name="_Toc497224204"/>
      <w:r>
        <w:rPr>
          <w:rFonts w:hint="eastAsia"/>
          <w:color w:val="000000" w:themeColor="text1"/>
          <w:highlight w:val="none"/>
        </w:rPr>
        <w:t>要求</w:t>
      </w:r>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7</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6"/>
        <w:numPr>
          <w:ilvl w:val="4"/>
          <w:numId w:val="41"/>
        </w:numPr>
        <w:tabs>
          <w:tab w:val="left" w:pos="720"/>
        </w:tabs>
        <w:spacing w:before="240" w:after="120"/>
        <w:ind w:left="2432" w:hanging="2432"/>
        <w:rPr>
          <w:color w:val="000000" w:themeColor="text1"/>
          <w:highlight w:val="none"/>
        </w:rPr>
      </w:pPr>
      <w:bookmarkStart w:id="513" w:name="_Toc345513846"/>
      <w:bookmarkStart w:id="514" w:name="_Toc333935666"/>
      <w:bookmarkStart w:id="515" w:name="_Toc342296739"/>
      <w:bookmarkStart w:id="516" w:name="_Toc497224205"/>
      <w:bookmarkStart w:id="517" w:name="_Toc340507421"/>
      <w:bookmarkStart w:id="518" w:name="_Toc332206687"/>
      <w:bookmarkStart w:id="519" w:name="_Toc336681559"/>
      <w:bookmarkStart w:id="520" w:name="_Toc330459964"/>
      <w:bookmarkStart w:id="521" w:name="_Toc333238612"/>
      <w:bookmarkStart w:id="522" w:name="_Toc331684017"/>
      <w:bookmarkStart w:id="523" w:name="_Toc331512877"/>
      <w:bookmarkStart w:id="524" w:name="_Toc374454579"/>
      <w:bookmarkStart w:id="525" w:name="_Toc339362279"/>
      <w:bookmarkStart w:id="526" w:name="_Toc342060353"/>
      <w:bookmarkStart w:id="527" w:name="_Toc366072507"/>
      <w:bookmarkStart w:id="528" w:name="_Toc340672848"/>
      <w:bookmarkStart w:id="529" w:name="_Toc333237656"/>
      <w:bookmarkStart w:id="530" w:name="_Toc349143568"/>
      <w:bookmarkStart w:id="531" w:name="_Toc339020074"/>
      <w:bookmarkStart w:id="532" w:name="_Toc6417"/>
      <w:bookmarkStart w:id="533" w:name="_Toc339441066"/>
      <w:bookmarkStart w:id="534" w:name="_Toc339020212"/>
      <w:bookmarkStart w:id="535" w:name="_Toc365967052"/>
      <w:bookmarkStart w:id="536" w:name="_Toc503785407"/>
      <w:bookmarkStart w:id="537" w:name="_Toc340677049"/>
      <w:bookmarkStart w:id="538" w:name="_Toc350756429"/>
      <w:bookmarkStart w:id="539" w:name="_Toc337632337"/>
      <w:bookmarkStart w:id="540" w:name="_Toc339019994"/>
      <w:bookmarkStart w:id="541" w:name="_Toc336681914"/>
      <w:bookmarkStart w:id="542" w:name="_Toc332270325"/>
      <w:bookmarkStart w:id="543" w:name="_Toc350438728"/>
      <w:bookmarkStart w:id="544" w:name="_Toc333935325"/>
      <w:bookmarkStart w:id="545" w:name="_Toc349127605"/>
      <w:bookmarkStart w:id="546" w:name="_Toc341348317"/>
      <w:bookmarkStart w:id="547" w:name="_Toc339019868"/>
      <w:bookmarkStart w:id="548" w:name="_Toc365985158"/>
      <w:bookmarkStart w:id="549" w:name="_Toc333237767"/>
      <w:r>
        <w:rPr>
          <w:rFonts w:hint="eastAsia"/>
          <w:color w:val="000000" w:themeColor="text1"/>
          <w:highlight w:val="none"/>
        </w:rPr>
        <w:t>投标语言及计量单位</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.2</w:t>
      </w:r>
      <w:r>
        <w:rPr>
          <w:rFonts w:ascii="宋体"/>
          <w:bCs/>
          <w:color w:val="000000" w:themeColor="text1"/>
          <w:highlight w:val="none"/>
        </w:rPr>
        <w:tab/>
      </w:r>
      <w:r>
        <w:rPr>
          <w:rFonts w:hint="eastAsia" w:ascii="宋体"/>
          <w:bCs/>
          <w:color w:val="000000" w:themeColor="text1"/>
          <w:highlight w:val="none"/>
        </w:rPr>
        <w:t>除在招标文件的技术规格中另有规定外，计量单位应使用中华人民共和国法定计量单位</w:t>
      </w:r>
      <w:r>
        <w:rPr>
          <w:rFonts w:hint="eastAsia"/>
          <w:bCs/>
          <w:color w:val="000000" w:themeColor="text1"/>
          <w:highlight w:val="none"/>
        </w:rPr>
        <w:t>（国际单位制和国家选定的其他计量单位）</w:t>
      </w:r>
      <w:r>
        <w:rPr>
          <w:rFonts w:hint="eastAsia" w:ascii="宋体"/>
          <w:bCs/>
          <w:color w:val="000000" w:themeColor="text1"/>
          <w:highlight w:val="none"/>
        </w:rPr>
        <w:t>。</w:t>
      </w:r>
    </w:p>
    <w:p>
      <w:pPr>
        <w:pStyle w:val="6"/>
        <w:numPr>
          <w:ilvl w:val="4"/>
          <w:numId w:val="41"/>
        </w:numPr>
        <w:tabs>
          <w:tab w:val="left" w:pos="720"/>
        </w:tabs>
        <w:spacing w:before="240" w:after="120"/>
        <w:ind w:left="2432" w:hanging="2432"/>
        <w:rPr>
          <w:color w:val="000000" w:themeColor="text1"/>
          <w:highlight w:val="none"/>
        </w:rPr>
      </w:pPr>
      <w:bookmarkStart w:id="550" w:name="_Toc332270326"/>
      <w:bookmarkStart w:id="551" w:name="_Toc342060354"/>
      <w:bookmarkStart w:id="552" w:name="_Toc350756430"/>
      <w:bookmarkStart w:id="553" w:name="_Toc1045"/>
      <w:bookmarkStart w:id="554" w:name="_Toc365967053"/>
      <w:bookmarkStart w:id="555" w:name="_Toc345513847"/>
      <w:bookmarkStart w:id="556" w:name="_Toc339019995"/>
      <w:bookmarkStart w:id="557" w:name="_Toc503785408"/>
      <w:bookmarkStart w:id="558" w:name="_Toc336681915"/>
      <w:bookmarkStart w:id="559" w:name="_Toc339019869"/>
      <w:bookmarkStart w:id="560" w:name="_Toc349127606"/>
      <w:bookmarkStart w:id="561" w:name="_Toc497224206"/>
      <w:bookmarkStart w:id="562" w:name="_Toc342296740"/>
      <w:bookmarkStart w:id="563" w:name="_Toc333237768"/>
      <w:bookmarkStart w:id="564" w:name="_Toc340677050"/>
      <w:bookmarkStart w:id="565" w:name="_Toc350438729"/>
      <w:bookmarkStart w:id="566" w:name="_Toc339020075"/>
      <w:bookmarkStart w:id="567" w:name="_Toc374454580"/>
      <w:bookmarkStart w:id="568" w:name="_Toc333238613"/>
      <w:bookmarkStart w:id="569" w:name="_Toc331512878"/>
      <w:bookmarkStart w:id="570" w:name="_Toc341348318"/>
      <w:bookmarkStart w:id="571" w:name="_Toc340507422"/>
      <w:bookmarkStart w:id="572" w:name="_Toc333237657"/>
      <w:bookmarkStart w:id="573" w:name="_Toc349143569"/>
      <w:bookmarkStart w:id="574" w:name="_Toc332206688"/>
      <w:bookmarkStart w:id="575" w:name="_Toc333935326"/>
      <w:bookmarkStart w:id="576" w:name="_Toc365985159"/>
      <w:bookmarkStart w:id="577" w:name="_Toc331684018"/>
      <w:bookmarkStart w:id="578" w:name="_Toc339362280"/>
      <w:bookmarkStart w:id="579" w:name="_Toc336681560"/>
      <w:bookmarkStart w:id="580" w:name="_Toc366072508"/>
      <w:bookmarkStart w:id="581" w:name="_Toc330459965"/>
      <w:bookmarkStart w:id="582" w:name="_Toc337632338"/>
      <w:bookmarkStart w:id="583" w:name="_Toc333935667"/>
      <w:bookmarkStart w:id="584" w:name="_Toc339441067"/>
      <w:bookmarkStart w:id="585" w:name="_Toc339020213"/>
      <w:bookmarkStart w:id="586" w:name="_Toc340672849"/>
      <w:r>
        <w:rPr>
          <w:rFonts w:hint="eastAsia"/>
          <w:color w:val="000000" w:themeColor="text1"/>
          <w:highlight w:val="none"/>
        </w:rPr>
        <w:t>投标文件的构成</w:t>
      </w:r>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p>
    <w:p>
      <w:pPr>
        <w:widowControl/>
        <w:tabs>
          <w:tab w:val="left" w:pos="753"/>
        </w:tabs>
        <w:adjustRightInd w:val="0"/>
        <w:snapToGrid w:val="0"/>
        <w:spacing w:line="360" w:lineRule="auto"/>
        <w:rPr>
          <w:rFonts w:ascii="宋体"/>
          <w:bCs/>
          <w:color w:val="000000" w:themeColor="text1"/>
          <w:highlight w:val="none"/>
        </w:rPr>
      </w:pPr>
      <w:r>
        <w:rPr>
          <w:rFonts w:hint="eastAsia" w:ascii="宋体"/>
          <w:bCs/>
          <w:color w:val="000000" w:themeColor="text1"/>
          <w:highlight w:val="none"/>
        </w:rPr>
        <w:t>9</w:t>
      </w:r>
      <w:r>
        <w:rPr>
          <w:rFonts w:ascii="宋体"/>
          <w:bCs/>
          <w:color w:val="000000" w:themeColor="text1"/>
          <w:highlight w:val="none"/>
        </w:rPr>
        <w:t>.1</w:t>
      </w:r>
      <w:r>
        <w:rPr>
          <w:rFonts w:hint="eastAsia" w:ascii="宋体"/>
          <w:bCs/>
          <w:color w:val="000000" w:themeColor="text1"/>
          <w:highlight w:val="none"/>
        </w:rPr>
        <w:t xml:space="preserve">   投标文件包括：</w:t>
      </w:r>
    </w:p>
    <w:p>
      <w:pPr>
        <w:widowControl/>
        <w:adjustRightInd w:val="0"/>
        <w:snapToGrid w:val="0"/>
        <w:spacing w:line="360" w:lineRule="auto"/>
        <w:ind w:left="734"/>
        <w:rPr>
          <w:rFonts w:ascii="宋体" w:hAnsi="宋体"/>
          <w:bCs/>
          <w:color w:val="000000" w:themeColor="text1"/>
          <w:highlight w:val="none"/>
        </w:rPr>
      </w:pPr>
      <w:bookmarkStart w:id="587" w:name="_Toc497224207"/>
      <w:bookmarkStart w:id="588" w:name="_Toc503785409"/>
      <w:r>
        <w:rPr>
          <w:rFonts w:hint="eastAsia" w:ascii="宋体" w:hAnsi="宋体"/>
          <w:bCs/>
          <w:color w:val="000000" w:themeColor="text1"/>
          <w:highlight w:val="none"/>
        </w:rPr>
        <w:t>第一章 资格审查文件（含附件）</w:t>
      </w:r>
    </w:p>
    <w:p>
      <w:pPr>
        <w:widowControl/>
        <w:adjustRightInd w:val="0"/>
        <w:snapToGrid w:val="0"/>
        <w:spacing w:line="360" w:lineRule="auto"/>
        <w:ind w:left="734"/>
        <w:rPr>
          <w:rFonts w:ascii="宋体" w:hAnsi="宋体"/>
          <w:bCs/>
          <w:color w:val="000000" w:themeColor="text1"/>
          <w:highlight w:val="none"/>
        </w:rPr>
      </w:pPr>
      <w:r>
        <w:rPr>
          <w:rFonts w:hint="eastAsia" w:ascii="宋体" w:hAnsi="宋体"/>
          <w:bCs/>
          <w:color w:val="000000" w:themeColor="text1"/>
          <w:highlight w:val="none"/>
        </w:rPr>
        <w:t>第二章 商务和技术部分</w:t>
      </w:r>
    </w:p>
    <w:p>
      <w:pPr>
        <w:pStyle w:val="6"/>
        <w:numPr>
          <w:ilvl w:val="4"/>
          <w:numId w:val="41"/>
        </w:numPr>
        <w:tabs>
          <w:tab w:val="left" w:pos="720"/>
        </w:tabs>
        <w:spacing w:before="240" w:after="120"/>
        <w:ind w:left="2432" w:hanging="2432"/>
        <w:rPr>
          <w:color w:val="000000" w:themeColor="text1"/>
          <w:highlight w:val="none"/>
        </w:rPr>
      </w:pPr>
      <w:bookmarkStart w:id="589" w:name="_Toc339020214"/>
      <w:bookmarkStart w:id="590" w:name="_Toc365985160"/>
      <w:bookmarkStart w:id="591" w:name="_Toc350438730"/>
      <w:bookmarkStart w:id="592" w:name="_Toc333237658"/>
      <w:bookmarkStart w:id="593" w:name="_Toc341348319"/>
      <w:bookmarkStart w:id="594" w:name="_Toc345513848"/>
      <w:bookmarkStart w:id="595" w:name="_Toc350756431"/>
      <w:bookmarkStart w:id="596" w:name="_Toc366072509"/>
      <w:bookmarkStart w:id="597" w:name="_Toc339019870"/>
      <w:bookmarkStart w:id="598" w:name="_Toc331512879"/>
      <w:bookmarkStart w:id="599" w:name="_Toc333237769"/>
      <w:bookmarkStart w:id="600" w:name="_Toc340507423"/>
      <w:bookmarkStart w:id="601" w:name="_Toc349127607"/>
      <w:bookmarkStart w:id="602" w:name="_Toc342060355"/>
      <w:bookmarkStart w:id="603" w:name="_Toc336681561"/>
      <w:bookmarkStart w:id="604" w:name="_Toc339362281"/>
      <w:bookmarkStart w:id="605" w:name="_Toc340672850"/>
      <w:bookmarkStart w:id="606" w:name="_Toc333238614"/>
      <w:bookmarkStart w:id="607" w:name="_Toc349143570"/>
      <w:bookmarkStart w:id="608" w:name="_Toc374454581"/>
      <w:bookmarkStart w:id="609" w:name="_Toc339019996"/>
      <w:bookmarkStart w:id="610" w:name="_Toc330459966"/>
      <w:bookmarkStart w:id="611" w:name="_Toc332206689"/>
      <w:bookmarkStart w:id="612" w:name="_Toc340677051"/>
      <w:bookmarkStart w:id="613" w:name="_Toc342296741"/>
      <w:bookmarkStart w:id="614" w:name="_Toc339441068"/>
      <w:bookmarkStart w:id="615" w:name="_Toc365967054"/>
      <w:bookmarkStart w:id="616" w:name="_Toc2175"/>
      <w:bookmarkStart w:id="617" w:name="_Toc333935327"/>
      <w:bookmarkStart w:id="618" w:name="_Toc339020076"/>
      <w:bookmarkStart w:id="619" w:name="_Toc331684019"/>
      <w:bookmarkStart w:id="620" w:name="_Toc336681916"/>
      <w:bookmarkStart w:id="621" w:name="_Toc337632339"/>
      <w:bookmarkStart w:id="622" w:name="_Toc332270327"/>
      <w:bookmarkStart w:id="623" w:name="_Toc333935668"/>
      <w:r>
        <w:rPr>
          <w:rFonts w:hint="eastAsia"/>
          <w:color w:val="000000" w:themeColor="text1"/>
          <w:highlight w:val="none"/>
        </w:rPr>
        <w:t>投标文件格式</w:t>
      </w:r>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0</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投标人应</w:t>
      </w:r>
      <w:r>
        <w:rPr>
          <w:rFonts w:hint="eastAsia" w:ascii="宋体" w:hAnsi="宋体"/>
          <w:bCs/>
          <w:color w:val="000000" w:themeColor="text1"/>
          <w:highlight w:val="none"/>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10.2 </w:t>
      </w:r>
      <w:r>
        <w:rPr>
          <w:rFonts w:hint="eastAsia" w:ascii="宋体" w:hAnsi="宋体"/>
          <w:bCs/>
          <w:color w:val="000000" w:themeColor="text1"/>
          <w:highlight w:val="none"/>
        </w:rPr>
        <w:tab/>
      </w:r>
      <w:r>
        <w:rPr>
          <w:rFonts w:hint="eastAsia" w:ascii="宋体" w:hAnsi="宋体"/>
          <w:bCs/>
          <w:color w:val="000000" w:themeColor="text1"/>
          <w:highlight w:val="none"/>
        </w:rPr>
        <w:tab/>
      </w:r>
      <w:r>
        <w:rPr>
          <w:rFonts w:hint="eastAsia" w:ascii="宋体" w:hAnsi="宋体"/>
          <w:bCs/>
          <w:color w:val="000000" w:themeColor="text1"/>
          <w:highlight w:val="none"/>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6"/>
        <w:numPr>
          <w:ilvl w:val="4"/>
          <w:numId w:val="41"/>
        </w:numPr>
        <w:tabs>
          <w:tab w:val="left" w:pos="720"/>
        </w:tabs>
        <w:spacing w:before="240" w:after="120"/>
        <w:ind w:left="2432" w:hanging="2432"/>
        <w:rPr>
          <w:color w:val="000000" w:themeColor="text1"/>
          <w:highlight w:val="none"/>
        </w:rPr>
      </w:pPr>
      <w:bookmarkStart w:id="624" w:name="_Toc365985161"/>
      <w:bookmarkStart w:id="625" w:name="_Toc336681562"/>
      <w:bookmarkStart w:id="626" w:name="_Toc339362282"/>
      <w:bookmarkStart w:id="627" w:name="_Toc339441069"/>
      <w:bookmarkStart w:id="628" w:name="_Toc339019871"/>
      <w:bookmarkStart w:id="629" w:name="_Toc336681917"/>
      <w:bookmarkStart w:id="630" w:name="_Toc331684020"/>
      <w:bookmarkStart w:id="631" w:name="_Toc339020215"/>
      <w:bookmarkStart w:id="632" w:name="_Toc366072510"/>
      <w:bookmarkStart w:id="633" w:name="_Toc337632340"/>
      <w:bookmarkStart w:id="634" w:name="_Toc349143571"/>
      <w:bookmarkStart w:id="635" w:name="_Toc5003680"/>
      <w:bookmarkStart w:id="636" w:name="_Toc339019997"/>
      <w:bookmarkStart w:id="637" w:name="_Toc340672851"/>
      <w:bookmarkStart w:id="638" w:name="_Toc340677052"/>
      <w:bookmarkStart w:id="639" w:name="_Toc374454582"/>
      <w:bookmarkStart w:id="640" w:name="_Toc333238615"/>
      <w:bookmarkStart w:id="641" w:name="_Toc331512880"/>
      <w:bookmarkStart w:id="642" w:name="_Toc330459967"/>
      <w:bookmarkStart w:id="643" w:name="_Toc333935669"/>
      <w:bookmarkStart w:id="644" w:name="_Toc333237659"/>
      <w:bookmarkStart w:id="645" w:name="_Toc345513849"/>
      <w:bookmarkStart w:id="646" w:name="_Toc342060356"/>
      <w:bookmarkStart w:id="647" w:name="_Toc340507424"/>
      <w:bookmarkStart w:id="648" w:name="_Toc350438731"/>
      <w:bookmarkStart w:id="649" w:name="_Toc349127608"/>
      <w:bookmarkStart w:id="650" w:name="_Toc333237770"/>
      <w:bookmarkStart w:id="651" w:name="_Toc350756432"/>
      <w:bookmarkStart w:id="652" w:name="_Toc365967055"/>
      <w:bookmarkStart w:id="653" w:name="_Toc332270328"/>
      <w:bookmarkStart w:id="654" w:name="_Toc332206690"/>
      <w:bookmarkStart w:id="655" w:name="_Toc333935328"/>
      <w:bookmarkStart w:id="656" w:name="_Toc341348320"/>
      <w:bookmarkStart w:id="657" w:name="_Toc18126"/>
      <w:bookmarkStart w:id="658" w:name="_Toc339020077"/>
      <w:bookmarkStart w:id="659" w:name="_Toc342296742"/>
      <w:r>
        <w:rPr>
          <w:rFonts w:hint="eastAsia"/>
          <w:color w:val="000000" w:themeColor="text1"/>
          <w:highlight w:val="none"/>
        </w:rPr>
        <w:t>资格证明文件</w:t>
      </w:r>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11.1 </w:t>
      </w:r>
      <w:r>
        <w:rPr>
          <w:rFonts w:hint="eastAsia" w:ascii="宋体" w:hAnsi="宋体"/>
          <w:bCs/>
          <w:color w:val="000000" w:themeColor="text1"/>
          <w:highlight w:val="none"/>
        </w:rPr>
        <w:tab/>
      </w:r>
      <w:r>
        <w:rPr>
          <w:rFonts w:hint="eastAsia" w:ascii="宋体" w:hAnsi="宋体"/>
          <w:bCs/>
          <w:color w:val="000000" w:themeColor="text1"/>
          <w:highlight w:val="none"/>
        </w:rPr>
        <w:t>投标人应按招标文件的要求，提交其有资格参加投标和中标后有履行合同能力的文件，并作为其投标文件的组成部分，包括但不限于下列文件：</w:t>
      </w:r>
    </w:p>
    <w:p>
      <w:pPr>
        <w:widowControl/>
        <w:numPr>
          <w:ilvl w:val="0"/>
          <w:numId w:val="44"/>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投标人满足招标文件中列出的资格标准；</w:t>
      </w:r>
    </w:p>
    <w:p>
      <w:pPr>
        <w:widowControl/>
        <w:numPr>
          <w:ilvl w:val="0"/>
          <w:numId w:val="44"/>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6"/>
        <w:numPr>
          <w:ilvl w:val="4"/>
          <w:numId w:val="41"/>
        </w:numPr>
        <w:tabs>
          <w:tab w:val="left" w:pos="720"/>
        </w:tabs>
        <w:spacing w:before="240" w:after="120"/>
        <w:ind w:left="2432" w:hanging="2432"/>
        <w:rPr>
          <w:color w:val="000000" w:themeColor="text1"/>
          <w:highlight w:val="none"/>
        </w:rPr>
      </w:pPr>
      <w:bookmarkStart w:id="660" w:name="_Toc339441070"/>
      <w:bookmarkStart w:id="661" w:name="_Toc333935329"/>
      <w:bookmarkStart w:id="662" w:name="_Toc339362283"/>
      <w:bookmarkStart w:id="663" w:name="_Toc336681918"/>
      <w:bookmarkStart w:id="664" w:name="_Toc339020216"/>
      <w:bookmarkStart w:id="665" w:name="_Toc350756433"/>
      <w:bookmarkStart w:id="666" w:name="_Toc332270329"/>
      <w:bookmarkStart w:id="667" w:name="_Toc365985162"/>
      <w:bookmarkStart w:id="668" w:name="_Toc333237660"/>
      <w:bookmarkStart w:id="669" w:name="_Toc333238616"/>
      <w:bookmarkStart w:id="670" w:name="_Toc333237771"/>
      <w:bookmarkStart w:id="671" w:name="_Toc374454583"/>
      <w:bookmarkStart w:id="672" w:name="_Toc341348321"/>
      <w:bookmarkStart w:id="673" w:name="_Toc366072511"/>
      <w:bookmarkStart w:id="674" w:name="_Toc349143572"/>
      <w:bookmarkStart w:id="675" w:name="_Toc332206691"/>
      <w:bookmarkStart w:id="676" w:name="_Toc336681563"/>
      <w:bookmarkStart w:id="677" w:name="_Toc333935670"/>
      <w:bookmarkStart w:id="678" w:name="_Toc339019998"/>
      <w:bookmarkStart w:id="679" w:name="_Toc337632341"/>
      <w:bookmarkStart w:id="680" w:name="_Toc5003681"/>
      <w:bookmarkStart w:id="681" w:name="_Toc342060357"/>
      <w:bookmarkStart w:id="682" w:name="_Toc331684021"/>
      <w:bookmarkStart w:id="683" w:name="_Toc349127609"/>
      <w:bookmarkStart w:id="684" w:name="_Toc339019872"/>
      <w:bookmarkStart w:id="685" w:name="_Toc340672852"/>
      <w:bookmarkStart w:id="686" w:name="_Toc350438732"/>
      <w:bookmarkStart w:id="687" w:name="_Toc330459968"/>
      <w:bookmarkStart w:id="688" w:name="_Toc345513850"/>
      <w:bookmarkStart w:id="689" w:name="_Toc365967056"/>
      <w:bookmarkStart w:id="690" w:name="_Toc340507425"/>
      <w:bookmarkStart w:id="691" w:name="_Toc331512881"/>
      <w:bookmarkStart w:id="692" w:name="_Toc5481"/>
      <w:bookmarkStart w:id="693" w:name="_Toc340677053"/>
      <w:bookmarkStart w:id="694" w:name="_Toc342296743"/>
      <w:bookmarkStart w:id="695" w:name="_Toc339020078"/>
      <w:r>
        <w:rPr>
          <w:rFonts w:hint="eastAsia"/>
          <w:color w:val="000000" w:themeColor="text1"/>
          <w:highlight w:val="none"/>
        </w:rPr>
        <w:t>货物和服务的证明文件</w:t>
      </w:r>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12.1</w:t>
      </w:r>
      <w:r>
        <w:rPr>
          <w:rFonts w:hint="eastAsia" w:ascii="宋体" w:hAnsi="宋体"/>
          <w:bCs/>
          <w:color w:val="000000" w:themeColor="text1"/>
          <w:highlight w:val="none"/>
        </w:rPr>
        <w:tab/>
      </w:r>
      <w:r>
        <w:rPr>
          <w:rFonts w:hint="eastAsia" w:ascii="宋体" w:hAnsi="宋体"/>
          <w:bCs/>
          <w:color w:val="000000" w:themeColor="text1"/>
          <w:highlight w:val="none"/>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12.2</w:t>
      </w:r>
      <w:r>
        <w:rPr>
          <w:rFonts w:hint="eastAsia" w:ascii="宋体" w:hAnsi="宋体"/>
          <w:bCs/>
          <w:color w:val="000000" w:themeColor="text1"/>
          <w:highlight w:val="none"/>
        </w:rPr>
        <w:tab/>
      </w:r>
      <w:r>
        <w:rPr>
          <w:rFonts w:hint="eastAsia" w:ascii="宋体" w:hAnsi="宋体"/>
          <w:bCs/>
          <w:color w:val="000000" w:themeColor="text1"/>
          <w:highlight w:val="none"/>
        </w:rPr>
        <w:t>证明货物和服务与招标文件的要求相一致的文件，它可以是文字资料、图纸、手册和数据，包括：</w:t>
      </w:r>
    </w:p>
    <w:p>
      <w:pPr>
        <w:numPr>
          <w:ilvl w:val="5"/>
          <w:numId w:val="41"/>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货物主要技术指标和性能的详细说明。</w:t>
      </w:r>
    </w:p>
    <w:p>
      <w:pPr>
        <w:numPr>
          <w:ilvl w:val="5"/>
          <w:numId w:val="41"/>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货物从采购人开始使用至招标要求中规定的周期内正常、连续地使用所必须的备件和专用工具清单，包括备件和专用工具的货源及现行价格。</w:t>
      </w:r>
    </w:p>
    <w:p>
      <w:pPr>
        <w:numPr>
          <w:ilvl w:val="5"/>
          <w:numId w:val="41"/>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12.3</w:t>
      </w:r>
      <w:r>
        <w:rPr>
          <w:rFonts w:hint="eastAsia" w:ascii="宋体" w:hAnsi="宋体"/>
          <w:bCs/>
          <w:color w:val="000000" w:themeColor="text1"/>
          <w:highlight w:val="none"/>
        </w:rPr>
        <w:tab/>
      </w:r>
      <w:r>
        <w:rPr>
          <w:rFonts w:hint="eastAsia"/>
          <w:color w:val="000000" w:themeColor="text1"/>
          <w:highlight w:val="none"/>
        </w:rPr>
        <w:t>投标人在阐述上述第</w:t>
      </w:r>
      <w:r>
        <w:rPr>
          <w:rFonts w:hint="eastAsia" w:ascii="宋体" w:hAnsi="宋体"/>
          <w:color w:val="000000" w:themeColor="text1"/>
          <w:highlight w:val="none"/>
        </w:rPr>
        <w:t>12.2（3）</w:t>
      </w:r>
      <w:r>
        <w:rPr>
          <w:rFonts w:hint="eastAsia"/>
          <w:color w:val="000000" w:themeColor="text1"/>
          <w:highlight w:val="none"/>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color w:val="000000" w:themeColor="text1"/>
          <w:highlight w:val="none"/>
        </w:rPr>
        <w:t>12.4   评标委员会对投标人所提供的证明货物和服务的合格性的文件进行审查，审查不合格的投标将作为无效投标处理。</w:t>
      </w:r>
    </w:p>
    <w:p>
      <w:pPr>
        <w:pStyle w:val="6"/>
        <w:numPr>
          <w:ilvl w:val="4"/>
          <w:numId w:val="41"/>
        </w:numPr>
        <w:tabs>
          <w:tab w:val="left" w:pos="720"/>
        </w:tabs>
        <w:spacing w:before="240" w:after="120"/>
        <w:ind w:left="2432" w:hanging="2432"/>
        <w:rPr>
          <w:color w:val="000000" w:themeColor="text1"/>
          <w:highlight w:val="none"/>
        </w:rPr>
      </w:pPr>
      <w:bookmarkStart w:id="696" w:name="_Toc342296744"/>
      <w:bookmarkStart w:id="697" w:name="_Toc331684022"/>
      <w:bookmarkStart w:id="698" w:name="_Toc337632342"/>
      <w:bookmarkStart w:id="699" w:name="_Toc350756434"/>
      <w:bookmarkStart w:id="700" w:name="_Toc349143573"/>
      <w:bookmarkStart w:id="701" w:name="_Toc374454584"/>
      <w:bookmarkStart w:id="702" w:name="_Toc503785411"/>
      <w:bookmarkStart w:id="703" w:name="_Toc339441071"/>
      <w:bookmarkStart w:id="704" w:name="_Toc339020217"/>
      <w:bookmarkStart w:id="705" w:name="_Toc333237661"/>
      <w:bookmarkStart w:id="706" w:name="_Toc342060358"/>
      <w:bookmarkStart w:id="707" w:name="_Toc331512882"/>
      <w:bookmarkStart w:id="708" w:name="_Toc332270330"/>
      <w:bookmarkStart w:id="709" w:name="_Toc349127610"/>
      <w:bookmarkStart w:id="710" w:name="_Toc366072512"/>
      <w:bookmarkStart w:id="711" w:name="_Toc365985163"/>
      <w:bookmarkStart w:id="712" w:name="_Toc339362284"/>
      <w:bookmarkStart w:id="713" w:name="_Toc336681564"/>
      <w:bookmarkStart w:id="714" w:name="_Toc341348322"/>
      <w:bookmarkStart w:id="715" w:name="_Toc333935330"/>
      <w:bookmarkStart w:id="716" w:name="_Toc340677054"/>
      <w:bookmarkStart w:id="717" w:name="_Toc339019999"/>
      <w:bookmarkStart w:id="718" w:name="_Toc365967057"/>
      <w:bookmarkStart w:id="719" w:name="_Toc2161"/>
      <w:bookmarkStart w:id="720" w:name="_Toc333238617"/>
      <w:bookmarkStart w:id="721" w:name="_Toc332206692"/>
      <w:bookmarkStart w:id="722" w:name="_Toc333935671"/>
      <w:bookmarkStart w:id="723" w:name="_Toc330459969"/>
      <w:bookmarkStart w:id="724" w:name="_Toc339019873"/>
      <w:bookmarkStart w:id="725" w:name="_Toc345513851"/>
      <w:bookmarkStart w:id="726" w:name="_Toc336681919"/>
      <w:bookmarkStart w:id="727" w:name="_Toc339020079"/>
      <w:bookmarkStart w:id="728" w:name="_Toc497224209"/>
      <w:bookmarkStart w:id="729" w:name="_Toc340672853"/>
      <w:bookmarkStart w:id="730" w:name="_Toc333237772"/>
      <w:bookmarkStart w:id="731" w:name="_Toc340507426"/>
      <w:bookmarkStart w:id="732" w:name="_Toc350438733"/>
      <w:r>
        <w:rPr>
          <w:rFonts w:hint="eastAsia"/>
          <w:color w:val="000000" w:themeColor="text1"/>
          <w:highlight w:val="none"/>
        </w:rPr>
        <w:t>投标报价与投标货币</w:t>
      </w:r>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13.1</w:t>
      </w:r>
      <w:r>
        <w:rPr>
          <w:rFonts w:hint="eastAsia" w:ascii="宋体" w:hAnsi="宋体"/>
          <w:color w:val="000000" w:themeColor="text1"/>
          <w:highlight w:val="none"/>
        </w:rPr>
        <w:tab/>
      </w:r>
      <w:r>
        <w:rPr>
          <w:rFonts w:hint="eastAsia" w:ascii="宋体" w:hAnsi="宋体"/>
          <w:color w:val="000000" w:themeColor="text1"/>
          <w:highlight w:val="none"/>
        </w:rPr>
        <w:t>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13.2</w:t>
      </w:r>
      <w:r>
        <w:rPr>
          <w:rFonts w:hint="eastAsia" w:ascii="宋体" w:hAnsi="宋体"/>
          <w:color w:val="000000" w:themeColor="text1"/>
          <w:highlight w:val="none"/>
        </w:rPr>
        <w:tab/>
      </w:r>
      <w:r>
        <w:rPr>
          <w:rFonts w:hint="eastAsia" w:ascii="宋体" w:hAnsi="宋体"/>
          <w:color w:val="000000" w:themeColor="text1"/>
          <w:highlight w:val="none"/>
        </w:rPr>
        <w:t>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13.3</w:t>
      </w:r>
      <w:r>
        <w:rPr>
          <w:rFonts w:hint="eastAsia" w:ascii="宋体" w:hAnsi="宋体"/>
          <w:color w:val="000000" w:themeColor="text1"/>
          <w:highlight w:val="none"/>
        </w:rPr>
        <w:tab/>
      </w:r>
      <w:r>
        <w:rPr>
          <w:rFonts w:hint="eastAsia" w:ascii="宋体" w:hAnsi="宋体"/>
          <w:color w:val="000000" w:themeColor="text1"/>
          <w:highlight w:val="none"/>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13.6   投标人在投标文件中如有任何遗漏，影响到招标文件中规定的范围、质量、性能和项目的实施或限制了采购人的权利和投标人的义务，由此产生的费用由投标人负责。</w:t>
      </w:r>
    </w:p>
    <w:p>
      <w:pPr>
        <w:pStyle w:val="6"/>
        <w:numPr>
          <w:ilvl w:val="4"/>
          <w:numId w:val="41"/>
        </w:numPr>
        <w:tabs>
          <w:tab w:val="left" w:pos="720"/>
        </w:tabs>
        <w:spacing w:before="240" w:after="120"/>
        <w:ind w:left="2432" w:hanging="2432"/>
        <w:rPr>
          <w:color w:val="000000" w:themeColor="text1"/>
          <w:highlight w:val="none"/>
        </w:rPr>
      </w:pPr>
      <w:bookmarkStart w:id="733" w:name="_Toc340507427"/>
      <w:bookmarkStart w:id="734" w:name="_Toc340672854"/>
      <w:bookmarkStart w:id="735" w:name="_Toc365985164"/>
      <w:bookmarkStart w:id="736" w:name="_Toc333935331"/>
      <w:bookmarkStart w:id="737" w:name="_Toc333935672"/>
      <w:bookmarkStart w:id="738" w:name="_Toc333238618"/>
      <w:bookmarkStart w:id="739" w:name="_Toc332270331"/>
      <w:bookmarkStart w:id="740" w:name="_Toc345513852"/>
      <w:bookmarkStart w:id="741" w:name="_Toc497224212"/>
      <w:bookmarkStart w:id="742" w:name="_Toc337632343"/>
      <w:bookmarkStart w:id="743" w:name="_Toc336681920"/>
      <w:bookmarkStart w:id="744" w:name="_Toc503785414"/>
      <w:bookmarkStart w:id="745" w:name="_Toc333237773"/>
      <w:bookmarkStart w:id="746" w:name="_Toc339020000"/>
      <w:bookmarkStart w:id="747" w:name="_Toc340677055"/>
      <w:bookmarkStart w:id="748" w:name="_Toc374454585"/>
      <w:bookmarkStart w:id="749" w:name="_Toc339362285"/>
      <w:bookmarkStart w:id="750" w:name="_Toc341348323"/>
      <w:bookmarkStart w:id="751" w:name="_Toc350756435"/>
      <w:bookmarkStart w:id="752" w:name="_Toc339020218"/>
      <w:bookmarkStart w:id="753" w:name="_Toc366072513"/>
      <w:bookmarkStart w:id="754" w:name="_Toc339019874"/>
      <w:bookmarkStart w:id="755" w:name="_Toc349127611"/>
      <w:bookmarkStart w:id="756" w:name="_Toc342296745"/>
      <w:bookmarkStart w:id="757" w:name="_Toc339020080"/>
      <w:bookmarkStart w:id="758" w:name="_Toc330459970"/>
      <w:bookmarkStart w:id="759" w:name="_Toc336681565"/>
      <w:bookmarkStart w:id="760" w:name="_Toc342060359"/>
      <w:bookmarkStart w:id="761" w:name="_Toc331512883"/>
      <w:bookmarkStart w:id="762" w:name="_Toc365967058"/>
      <w:bookmarkStart w:id="763" w:name="_Toc332206693"/>
      <w:bookmarkStart w:id="764" w:name="_Toc339441072"/>
      <w:bookmarkStart w:id="765" w:name="_Toc350438734"/>
      <w:bookmarkStart w:id="766" w:name="_Toc24706"/>
      <w:bookmarkStart w:id="767" w:name="_Toc331684023"/>
      <w:bookmarkStart w:id="768" w:name="_Toc349143574"/>
      <w:bookmarkStart w:id="769" w:name="_Toc333237662"/>
      <w:r>
        <w:rPr>
          <w:rFonts w:hint="eastAsia"/>
          <w:color w:val="000000" w:themeColor="text1"/>
          <w:highlight w:val="none"/>
        </w:rPr>
        <w:t>投标保证金</w:t>
      </w:r>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color w:val="000000" w:themeColor="text1"/>
          <w:highlight w:val="none"/>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bCs/>
          <w:color w:val="000000" w:themeColor="text1"/>
          <w:highlight w:val="none"/>
        </w:rPr>
        <w:t>14.3</w:t>
      </w:r>
      <w:r>
        <w:rPr>
          <w:rFonts w:hint="eastAsia" w:ascii="宋体"/>
          <w:bCs/>
          <w:color w:val="000000" w:themeColor="text1"/>
          <w:highlight w:val="none"/>
        </w:rPr>
        <w:tab/>
      </w:r>
      <w:r>
        <w:rPr>
          <w:rFonts w:hint="eastAsia" w:ascii="宋体"/>
          <w:bCs/>
          <w:color w:val="000000" w:themeColor="text1"/>
          <w:highlight w:val="none"/>
        </w:rPr>
        <w:t>投标保证金用于保护本次招标免遭因投标人的行为而蒙受的损失。</w:t>
      </w:r>
      <w:r>
        <w:rPr>
          <w:rFonts w:hint="eastAsia" w:ascii="宋体" w:hAnsi="宋体"/>
          <w:color w:val="000000" w:themeColor="text1"/>
          <w:highlight w:val="none"/>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4</w:t>
      </w:r>
      <w:r>
        <w:rPr>
          <w:rFonts w:ascii="宋体"/>
          <w:bCs/>
          <w:color w:val="000000" w:themeColor="text1"/>
          <w:highlight w:val="none"/>
        </w:rPr>
        <w:t xml:space="preserve"> </w:t>
      </w:r>
      <w:r>
        <w:rPr>
          <w:rFonts w:hint="eastAsia" w:ascii="宋体"/>
          <w:bCs/>
          <w:color w:val="000000" w:themeColor="text1"/>
          <w:highlight w:val="none"/>
        </w:rPr>
        <w:tab/>
      </w:r>
      <w:r>
        <w:rPr>
          <w:rFonts w:hint="eastAsia" w:ascii="宋体" w:hAnsi="宋体"/>
          <w:bCs/>
          <w:color w:val="000000" w:themeColor="text1"/>
          <w:highlight w:val="none"/>
        </w:rPr>
        <w:t>凡未按本须知第14.2条规定随附有效投标保证金的投标</w:t>
      </w:r>
      <w:r>
        <w:rPr>
          <w:rFonts w:ascii="宋体" w:hAnsi="宋体"/>
          <w:bCs/>
          <w:color w:val="000000" w:themeColor="text1"/>
          <w:highlight w:val="none"/>
        </w:rPr>
        <w:t>,</w:t>
      </w:r>
      <w:r>
        <w:rPr>
          <w:rFonts w:hint="eastAsia" w:ascii="宋体" w:hAnsi="宋体"/>
          <w:bCs/>
          <w:color w:val="000000" w:themeColor="text1"/>
          <w:highlight w:val="none"/>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5</w:t>
      </w:r>
      <w:r>
        <w:rPr>
          <w:rFonts w:ascii="宋体"/>
          <w:bCs/>
          <w:color w:val="000000" w:themeColor="text1"/>
          <w:highlight w:val="none"/>
        </w:rPr>
        <w:tab/>
      </w:r>
      <w:r>
        <w:rPr>
          <w:rFonts w:hint="eastAsia" w:ascii="宋体" w:hAnsi="宋体"/>
          <w:bCs/>
          <w:color w:val="000000" w:themeColor="text1"/>
          <w:highlight w:val="none"/>
        </w:rPr>
        <w:t>未中标的投标人的投标保证金，采购</w:t>
      </w:r>
      <w:r>
        <w:rPr>
          <w:rFonts w:hint="eastAsia" w:ascii="宋体" w:hAnsi="宋体"/>
          <w:bCs/>
          <w:color w:val="000000" w:themeColor="text1"/>
          <w:szCs w:val="21"/>
          <w:highlight w:val="none"/>
        </w:rPr>
        <w:t>代理</w:t>
      </w:r>
      <w:r>
        <w:rPr>
          <w:rFonts w:hint="eastAsia" w:ascii="宋体" w:hAnsi="宋体"/>
          <w:bCs/>
          <w:color w:val="000000" w:themeColor="text1"/>
          <w:highlight w:val="none"/>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6</w:t>
      </w:r>
      <w:r>
        <w:rPr>
          <w:rFonts w:ascii="宋体"/>
          <w:bCs/>
          <w:color w:val="000000" w:themeColor="text1"/>
          <w:highlight w:val="none"/>
        </w:rPr>
        <w:tab/>
      </w:r>
      <w:r>
        <w:rPr>
          <w:rFonts w:hint="eastAsia" w:ascii="宋体" w:hAnsi="宋体"/>
          <w:bCs/>
          <w:color w:val="000000" w:themeColor="text1"/>
          <w:highlight w:val="none"/>
        </w:rPr>
        <w:t>中标投标人的投标保证金</w:t>
      </w:r>
      <w:r>
        <w:rPr>
          <w:rFonts w:ascii="宋体" w:hAnsi="宋体"/>
          <w:bCs/>
          <w:color w:val="000000" w:themeColor="text1"/>
          <w:highlight w:val="none"/>
        </w:rPr>
        <w:t>，</w:t>
      </w:r>
      <w:r>
        <w:rPr>
          <w:rFonts w:hint="eastAsia" w:ascii="宋体" w:hAnsi="宋体"/>
          <w:bCs/>
          <w:color w:val="000000" w:themeColor="text1"/>
          <w:highlight w:val="none"/>
        </w:rPr>
        <w:t>在中标投标人付清中标服务费、签订合同之日起5个工作日内无息退</w:t>
      </w:r>
      <w:r>
        <w:rPr>
          <w:rFonts w:hint="eastAsia" w:ascii="宋体"/>
          <w:bCs/>
          <w:color w:val="000000" w:themeColor="text1"/>
          <w:highlight w:val="none"/>
        </w:rPr>
        <w:t>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7</w:t>
      </w:r>
      <w:r>
        <w:rPr>
          <w:rFonts w:ascii="宋体"/>
          <w:bCs/>
          <w:color w:val="000000" w:themeColor="text1"/>
          <w:highlight w:val="none"/>
        </w:rPr>
        <w:tab/>
      </w:r>
      <w:r>
        <w:rPr>
          <w:rFonts w:hint="eastAsia" w:ascii="宋体"/>
          <w:bCs/>
          <w:color w:val="000000" w:themeColor="text1"/>
          <w:highlight w:val="none"/>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（4）投标人提供虚假投标文件或虚假补充文件的。</w:t>
      </w:r>
    </w:p>
    <w:p>
      <w:pPr>
        <w:pStyle w:val="6"/>
        <w:numPr>
          <w:ilvl w:val="4"/>
          <w:numId w:val="41"/>
        </w:numPr>
        <w:tabs>
          <w:tab w:val="left" w:pos="720"/>
        </w:tabs>
        <w:spacing w:before="240" w:after="120"/>
        <w:ind w:left="2432" w:hanging="2432"/>
        <w:rPr>
          <w:color w:val="000000" w:themeColor="text1"/>
          <w:highlight w:val="none"/>
        </w:rPr>
      </w:pPr>
      <w:bookmarkStart w:id="770" w:name="_Toc331684024"/>
      <w:bookmarkStart w:id="771" w:name="_Toc333238619"/>
      <w:bookmarkStart w:id="772" w:name="_Toc331512884"/>
      <w:bookmarkStart w:id="773" w:name="_Toc333935673"/>
      <w:bookmarkStart w:id="774" w:name="_Toc333237774"/>
      <w:bookmarkStart w:id="775" w:name="_Toc332206694"/>
      <w:bookmarkStart w:id="776" w:name="_Toc332270332"/>
      <w:bookmarkStart w:id="777" w:name="_Toc340507428"/>
      <w:bookmarkStart w:id="778" w:name="_Toc497224213"/>
      <w:bookmarkStart w:id="779" w:name="_Toc339019875"/>
      <w:bookmarkStart w:id="780" w:name="_Toc365967059"/>
      <w:bookmarkStart w:id="781" w:name="_Toc330459971"/>
      <w:bookmarkStart w:id="782" w:name="_Toc337632344"/>
      <w:bookmarkStart w:id="783" w:name="_Toc349127612"/>
      <w:bookmarkStart w:id="784" w:name="_Toc350438735"/>
      <w:bookmarkStart w:id="785" w:name="_Toc333237663"/>
      <w:bookmarkStart w:id="786" w:name="_Toc340677056"/>
      <w:bookmarkStart w:id="787" w:name="_Toc345513853"/>
      <w:bookmarkStart w:id="788" w:name="_Toc342296746"/>
      <w:bookmarkStart w:id="789" w:name="_Toc339362286"/>
      <w:bookmarkStart w:id="790" w:name="_Toc366072514"/>
      <w:bookmarkStart w:id="791" w:name="_Toc339020219"/>
      <w:bookmarkStart w:id="792" w:name="_Toc7107"/>
      <w:bookmarkStart w:id="793" w:name="_Toc336681921"/>
      <w:bookmarkStart w:id="794" w:name="_Toc365985165"/>
      <w:bookmarkStart w:id="795" w:name="_Toc341348324"/>
      <w:bookmarkStart w:id="796" w:name="_Toc342060360"/>
      <w:bookmarkStart w:id="797" w:name="_Toc503785415"/>
      <w:bookmarkStart w:id="798" w:name="_Toc374454586"/>
      <w:bookmarkStart w:id="799" w:name="_Toc339441073"/>
      <w:bookmarkStart w:id="800" w:name="_Toc339020081"/>
      <w:bookmarkStart w:id="801" w:name="_Toc349143575"/>
      <w:bookmarkStart w:id="802" w:name="_Toc333935332"/>
      <w:bookmarkStart w:id="803" w:name="_Toc339020001"/>
      <w:bookmarkStart w:id="804" w:name="_Toc350756436"/>
      <w:bookmarkStart w:id="805" w:name="_Toc340672855"/>
      <w:bookmarkStart w:id="806" w:name="_Toc336681566"/>
      <w:r>
        <w:rPr>
          <w:rFonts w:hint="eastAsia"/>
          <w:color w:val="000000" w:themeColor="text1"/>
          <w:highlight w:val="none"/>
        </w:rPr>
        <w:t>投标有效期</w:t>
      </w:r>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从开标之日起，本项目的投标有效期为90天。</w:t>
      </w:r>
      <w:r>
        <w:rPr>
          <w:rFonts w:ascii="宋体"/>
          <w:bCs/>
          <w:color w:val="000000" w:themeColor="text1"/>
          <w:highlight w:val="none"/>
        </w:rPr>
        <w:t xml:space="preserve"> </w:t>
      </w:r>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6"/>
        <w:numPr>
          <w:ilvl w:val="4"/>
          <w:numId w:val="41"/>
        </w:numPr>
        <w:tabs>
          <w:tab w:val="left" w:pos="720"/>
        </w:tabs>
        <w:spacing w:before="240" w:after="120"/>
        <w:ind w:left="2432" w:hanging="2432"/>
        <w:rPr>
          <w:color w:val="000000" w:themeColor="text1"/>
          <w:highlight w:val="none"/>
        </w:rPr>
      </w:pPr>
      <w:bookmarkStart w:id="807" w:name="_Toc337632345"/>
      <w:bookmarkStart w:id="808" w:name="_Toc340677057"/>
      <w:bookmarkStart w:id="809" w:name="_Toc332206695"/>
      <w:bookmarkStart w:id="810" w:name="_Toc339019876"/>
      <w:bookmarkStart w:id="811" w:name="_Toc374454587"/>
      <w:bookmarkStart w:id="812" w:name="_Toc339441074"/>
      <w:bookmarkStart w:id="813" w:name="_Toc336681922"/>
      <w:bookmarkStart w:id="814" w:name="_Toc111534389"/>
      <w:bookmarkStart w:id="815" w:name="_Toc340507429"/>
      <w:bookmarkStart w:id="816" w:name="_Toc342060361"/>
      <w:bookmarkStart w:id="817" w:name="_Toc333238620"/>
      <w:bookmarkStart w:id="818" w:name="_Toc503785416"/>
      <w:bookmarkStart w:id="819" w:name="_Toc339020082"/>
      <w:bookmarkStart w:id="820" w:name="_Toc350756437"/>
      <w:bookmarkStart w:id="821" w:name="_Toc345513854"/>
      <w:bookmarkStart w:id="822" w:name="_Toc339020002"/>
      <w:bookmarkStart w:id="823" w:name="_Toc336681567"/>
      <w:bookmarkStart w:id="824" w:name="_Toc350438736"/>
      <w:bookmarkStart w:id="825" w:name="_Toc331684025"/>
      <w:bookmarkStart w:id="826" w:name="_Toc333237775"/>
      <w:bookmarkStart w:id="827" w:name="_Toc339020220"/>
      <w:bookmarkStart w:id="828" w:name="_Toc331512885"/>
      <w:bookmarkStart w:id="829" w:name="_Toc333935333"/>
      <w:bookmarkStart w:id="830" w:name="_Toc497224214"/>
      <w:bookmarkStart w:id="831" w:name="_Toc349127613"/>
      <w:bookmarkStart w:id="832" w:name="_Toc332270333"/>
      <w:bookmarkStart w:id="833" w:name="_Toc341348325"/>
      <w:bookmarkStart w:id="834" w:name="_Toc333935674"/>
      <w:bookmarkStart w:id="835" w:name="_Toc333237664"/>
      <w:bookmarkStart w:id="836" w:name="_Toc365967060"/>
      <w:bookmarkStart w:id="837" w:name="_Toc366072515"/>
      <w:bookmarkStart w:id="838" w:name="_Toc330459972"/>
      <w:bookmarkStart w:id="839" w:name="_Toc349143576"/>
      <w:bookmarkStart w:id="840" w:name="_Toc23249"/>
      <w:bookmarkStart w:id="841" w:name="_Toc342296747"/>
      <w:bookmarkStart w:id="842" w:name="_Toc339362287"/>
      <w:bookmarkStart w:id="843" w:name="_Toc365985166"/>
      <w:bookmarkStart w:id="844" w:name="_Toc340672856"/>
      <w:r>
        <w:rPr>
          <w:rFonts w:hint="eastAsia"/>
          <w:color w:val="000000" w:themeColor="text1"/>
          <w:highlight w:val="none"/>
        </w:rPr>
        <w:t>投标文件的签署及规定</w:t>
      </w:r>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.2</w:t>
      </w:r>
      <w:r>
        <w:rPr>
          <w:rFonts w:hint="eastAsia" w:ascii="宋体"/>
          <w:bCs/>
          <w:color w:val="000000" w:themeColor="text1"/>
          <w:highlight w:val="none"/>
        </w:rPr>
        <w:tab/>
      </w:r>
      <w:r>
        <w:rPr>
          <w:rFonts w:hint="eastAsia" w:ascii="宋体" w:hAnsi="宋体"/>
          <w:bCs/>
          <w:color w:val="000000" w:themeColor="text1"/>
          <w:highlight w:val="none"/>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除投标人对差错处做必要修改外，投标文件中不允许有行间插字、涂改或增删，如有修改错漏处，必须由投标文件的签署人签字并在修改错漏处加盖公章，以示确认。</w:t>
      </w:r>
    </w:p>
    <w:p>
      <w:pPr>
        <w:pStyle w:val="4"/>
        <w:numPr>
          <w:ilvl w:val="0"/>
          <w:numId w:val="0"/>
        </w:numPr>
        <w:rPr>
          <w:color w:val="000000" w:themeColor="text1"/>
          <w:sz w:val="24"/>
          <w:highlight w:val="none"/>
        </w:rPr>
      </w:pPr>
      <w:bookmarkStart w:id="845" w:name="_Toc342296748"/>
      <w:bookmarkStart w:id="846" w:name="_Toc342060362"/>
      <w:bookmarkStart w:id="847" w:name="_Toc339020083"/>
      <w:bookmarkStart w:id="848" w:name="_Toc341348326"/>
      <w:bookmarkStart w:id="849" w:name="_Toc336681923"/>
      <w:bookmarkStart w:id="850" w:name="_Toc366072516"/>
      <w:bookmarkStart w:id="851" w:name="_Toc340507430"/>
      <w:bookmarkStart w:id="852" w:name="_Toc333237776"/>
      <w:bookmarkStart w:id="853" w:name="_Toc330459973"/>
      <w:bookmarkStart w:id="854" w:name="_Toc337632346"/>
      <w:bookmarkStart w:id="855" w:name="_Toc333237665"/>
      <w:bookmarkStart w:id="856" w:name="_Toc503785417"/>
      <w:bookmarkStart w:id="857" w:name="_Toc339362288"/>
      <w:bookmarkStart w:id="858" w:name="_Toc340672857"/>
      <w:bookmarkStart w:id="859" w:name="_Toc339020221"/>
      <w:bookmarkStart w:id="860" w:name="_Toc333935675"/>
      <w:bookmarkStart w:id="861" w:name="_Toc365985167"/>
      <w:bookmarkStart w:id="862" w:name="_Toc336681568"/>
      <w:bookmarkStart w:id="863" w:name="_Toc497224215"/>
      <w:bookmarkStart w:id="864" w:name="_Toc365967061"/>
      <w:bookmarkStart w:id="865" w:name="_Toc339020003"/>
      <w:bookmarkStart w:id="866" w:name="_Toc339019877"/>
      <w:bookmarkStart w:id="867" w:name="_Toc349127614"/>
      <w:bookmarkStart w:id="868" w:name="_Toc350756438"/>
      <w:bookmarkStart w:id="869" w:name="_Toc350438737"/>
      <w:bookmarkStart w:id="870" w:name="_Toc332206696"/>
      <w:bookmarkStart w:id="871" w:name="_Toc340677058"/>
      <w:bookmarkStart w:id="872" w:name="_Toc333238621"/>
      <w:bookmarkStart w:id="873" w:name="_Toc339441075"/>
      <w:bookmarkStart w:id="874" w:name="_Toc331512886"/>
      <w:bookmarkStart w:id="875" w:name="_Toc349143577"/>
      <w:bookmarkStart w:id="876" w:name="_Toc345513855"/>
      <w:bookmarkStart w:id="877" w:name="_Toc331684026"/>
      <w:bookmarkStart w:id="878" w:name="_Toc111534390"/>
      <w:bookmarkStart w:id="879" w:name="_Toc332270334"/>
      <w:bookmarkStart w:id="880" w:name="_Toc374454588"/>
      <w:bookmarkStart w:id="881" w:name="_Toc333935334"/>
      <w:r>
        <w:rPr>
          <w:color w:val="000000" w:themeColor="text1"/>
          <w:sz w:val="24"/>
          <w:highlight w:val="none"/>
        </w:rPr>
        <w:br w:type="page"/>
      </w:r>
      <w:bookmarkStart w:id="882" w:name="_Toc22948"/>
      <w:r>
        <w:rPr>
          <w:rFonts w:hint="eastAsia"/>
          <w:color w:val="000000" w:themeColor="text1"/>
          <w:sz w:val="24"/>
          <w:highlight w:val="none"/>
        </w:rPr>
        <w:t>Ｄ</w:t>
      </w:r>
      <w:r>
        <w:rPr>
          <w:color w:val="000000" w:themeColor="text1"/>
          <w:sz w:val="24"/>
          <w:highlight w:val="none"/>
        </w:rPr>
        <w:t xml:space="preserve">  </w:t>
      </w:r>
      <w:r>
        <w:rPr>
          <w:rFonts w:hint="eastAsia"/>
          <w:color w:val="000000" w:themeColor="text1"/>
          <w:sz w:val="24"/>
          <w:highlight w:val="none"/>
        </w:rPr>
        <w:t>投标文件的递交</w:t>
      </w:r>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p>
    <w:p>
      <w:pPr>
        <w:pStyle w:val="6"/>
        <w:numPr>
          <w:ilvl w:val="4"/>
          <w:numId w:val="41"/>
        </w:numPr>
        <w:tabs>
          <w:tab w:val="left" w:pos="251"/>
          <w:tab w:val="left" w:pos="720"/>
        </w:tabs>
        <w:spacing w:before="240" w:after="120"/>
        <w:ind w:left="751" w:leftChars="1" w:hangingChars="357"/>
        <w:rPr>
          <w:rFonts w:ascii="宋体" w:hAnsi="宋体"/>
          <w:color w:val="000000" w:themeColor="text1"/>
          <w:highlight w:val="none"/>
        </w:rPr>
      </w:pPr>
      <w:bookmarkStart w:id="883" w:name="_Toc332270335"/>
      <w:bookmarkStart w:id="884" w:name="_Toc333935335"/>
      <w:bookmarkStart w:id="885" w:name="_Toc349127615"/>
      <w:bookmarkStart w:id="886" w:name="_Toc333237777"/>
      <w:bookmarkStart w:id="887" w:name="_Toc366072517"/>
      <w:bookmarkStart w:id="888" w:name="_Toc333935676"/>
      <w:bookmarkStart w:id="889" w:name="_Toc374454589"/>
      <w:bookmarkStart w:id="890" w:name="_Toc330459974"/>
      <w:bookmarkStart w:id="891" w:name="_Toc342296749"/>
      <w:bookmarkStart w:id="892" w:name="_Toc350438738"/>
      <w:bookmarkStart w:id="893" w:name="_Toc497224216"/>
      <w:bookmarkStart w:id="894" w:name="_Toc340672858"/>
      <w:bookmarkStart w:id="895" w:name="_Toc337632347"/>
      <w:bookmarkStart w:id="896" w:name="_Toc111534391"/>
      <w:bookmarkStart w:id="897" w:name="_Toc336681569"/>
      <w:bookmarkStart w:id="898" w:name="_Toc339020222"/>
      <w:bookmarkStart w:id="899" w:name="_Toc503785418"/>
      <w:bookmarkStart w:id="900" w:name="_Toc332206697"/>
      <w:bookmarkStart w:id="901" w:name="_Toc336681924"/>
      <w:bookmarkStart w:id="902" w:name="_Toc340507431"/>
      <w:bookmarkStart w:id="903" w:name="_Toc339362289"/>
      <w:bookmarkStart w:id="904" w:name="_Toc345513856"/>
      <w:bookmarkStart w:id="905" w:name="_Toc342060363"/>
      <w:bookmarkStart w:id="906" w:name="_Toc339020084"/>
      <w:bookmarkStart w:id="907" w:name="_Toc331684027"/>
      <w:bookmarkStart w:id="908" w:name="_Toc339019878"/>
      <w:bookmarkStart w:id="909" w:name="_Toc339441076"/>
      <w:bookmarkStart w:id="910" w:name="_Toc350756439"/>
      <w:bookmarkStart w:id="911" w:name="_Toc333238622"/>
      <w:bookmarkStart w:id="912" w:name="_Toc349143578"/>
      <w:bookmarkStart w:id="913" w:name="_Toc365967062"/>
      <w:bookmarkStart w:id="914" w:name="_Toc365985168"/>
      <w:bookmarkStart w:id="915" w:name="_Toc339020004"/>
      <w:bookmarkStart w:id="916" w:name="_Toc340677059"/>
      <w:bookmarkStart w:id="917" w:name="_Toc333237666"/>
      <w:bookmarkStart w:id="918" w:name="_Toc331512887"/>
      <w:bookmarkStart w:id="919" w:name="_Toc341348327"/>
      <w:r>
        <w:rPr>
          <w:color w:val="000000" w:themeColor="text1"/>
          <w:highlight w:val="none"/>
        </w:rPr>
        <w:t xml:space="preserve"> </w:t>
      </w:r>
      <w:bookmarkStart w:id="920" w:name="_Toc15843"/>
      <w:r>
        <w:rPr>
          <w:rFonts w:hint="eastAsia"/>
          <w:color w:val="000000" w:themeColor="text1"/>
          <w:highlight w:val="none"/>
        </w:rPr>
        <w:t>投标文件的密封和标记</w:t>
      </w:r>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p>
    <w:p>
      <w:pPr>
        <w:pStyle w:val="5"/>
        <w:rPr>
          <w:color w:val="000000" w:themeColor="text1"/>
          <w:highlight w:val="none"/>
        </w:rPr>
      </w:pPr>
      <w:bookmarkStart w:id="921" w:name="_Hlk499218605"/>
      <w:r>
        <w:rPr>
          <w:rFonts w:hint="eastAsia"/>
          <w:color w:val="000000" w:themeColor="text1"/>
          <w:highlight w:val="none"/>
        </w:rPr>
        <w:tab/>
      </w:r>
      <w:r>
        <w:rPr>
          <w:rFonts w:hint="eastAsia" w:ascii="黑体" w:eastAsia="黑体"/>
          <w:bCs/>
          <w:color w:val="000000" w:themeColor="text1"/>
          <w:kern w:val="2"/>
          <w:sz w:val="21"/>
          <w:szCs w:val="24"/>
          <w:highlight w:val="none"/>
        </w:rPr>
        <w:t>详见第三部份《投标人须知〈投标人须知前附表〉》</w:t>
      </w:r>
      <w:bookmarkEnd w:id="921"/>
      <w:r>
        <w:rPr>
          <w:rFonts w:hint="eastAsia" w:ascii="黑体" w:eastAsia="黑体"/>
          <w:bCs/>
          <w:color w:val="000000" w:themeColor="text1"/>
          <w:kern w:val="2"/>
          <w:sz w:val="21"/>
          <w:szCs w:val="24"/>
          <w:highlight w:val="none"/>
        </w:rPr>
        <w:t>。</w:t>
      </w:r>
    </w:p>
    <w:p>
      <w:pPr>
        <w:pStyle w:val="6"/>
        <w:numPr>
          <w:ilvl w:val="4"/>
          <w:numId w:val="41"/>
        </w:numPr>
        <w:tabs>
          <w:tab w:val="left" w:pos="720"/>
        </w:tabs>
        <w:spacing w:before="240" w:after="120"/>
        <w:ind w:left="2432" w:hanging="2432"/>
        <w:rPr>
          <w:color w:val="000000" w:themeColor="text1"/>
          <w:highlight w:val="none"/>
        </w:rPr>
      </w:pPr>
      <w:bookmarkStart w:id="922" w:name="_Toc333238623"/>
      <w:bookmarkStart w:id="923" w:name="_Toc111534392"/>
      <w:bookmarkStart w:id="924" w:name="_Toc331512888"/>
      <w:bookmarkStart w:id="925" w:name="_Toc339441077"/>
      <w:bookmarkStart w:id="926" w:name="_Toc333237778"/>
      <w:bookmarkStart w:id="927" w:name="_Toc365967063"/>
      <w:bookmarkStart w:id="928" w:name="_Toc497224217"/>
      <w:bookmarkStart w:id="929" w:name="_Toc339020085"/>
      <w:bookmarkStart w:id="930" w:name="_Toc333237667"/>
      <w:bookmarkStart w:id="931" w:name="_Toc333935677"/>
      <w:bookmarkStart w:id="932" w:name="_Toc350438739"/>
      <w:bookmarkStart w:id="933" w:name="_Toc339019879"/>
      <w:bookmarkStart w:id="934" w:name="_Toc339020005"/>
      <w:bookmarkStart w:id="935" w:name="_Toc350756440"/>
      <w:bookmarkStart w:id="936" w:name="_Toc331684028"/>
      <w:bookmarkStart w:id="937" w:name="_Toc337632348"/>
      <w:bookmarkStart w:id="938" w:name="_Toc336681570"/>
      <w:bookmarkStart w:id="939" w:name="_Toc340672859"/>
      <w:bookmarkStart w:id="940" w:name="_Toc374454590"/>
      <w:bookmarkStart w:id="941" w:name="_Toc339362290"/>
      <w:bookmarkStart w:id="942" w:name="_Toc339020223"/>
      <w:bookmarkStart w:id="943" w:name="_Toc345513857"/>
      <w:bookmarkStart w:id="944" w:name="_Toc340677060"/>
      <w:bookmarkStart w:id="945" w:name="_Toc366072518"/>
      <w:bookmarkStart w:id="946" w:name="_Toc333935336"/>
      <w:bookmarkStart w:id="947" w:name="_Toc365985169"/>
      <w:bookmarkStart w:id="948" w:name="_Toc332206698"/>
      <w:bookmarkStart w:id="949" w:name="_Toc342296750"/>
      <w:bookmarkStart w:id="950" w:name="_Toc336681925"/>
      <w:bookmarkStart w:id="951" w:name="_Toc332270336"/>
      <w:bookmarkStart w:id="952" w:name="_Toc341348328"/>
      <w:bookmarkStart w:id="953" w:name="_Toc330459975"/>
      <w:bookmarkStart w:id="954" w:name="_Toc349127616"/>
      <w:bookmarkStart w:id="955" w:name="_Toc28911"/>
      <w:bookmarkStart w:id="956" w:name="_Toc342060364"/>
      <w:bookmarkStart w:id="957" w:name="_Toc340507432"/>
      <w:bookmarkStart w:id="958" w:name="_Toc349143579"/>
      <w:bookmarkStart w:id="959" w:name="_Toc503785419"/>
      <w:r>
        <w:rPr>
          <w:rFonts w:hint="eastAsia"/>
          <w:color w:val="000000" w:themeColor="text1"/>
          <w:highlight w:val="none"/>
        </w:rPr>
        <w:t>递交投标文件的时间、地点及截止时间</w:t>
      </w:r>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18.1</w:t>
      </w:r>
      <w:r>
        <w:rPr>
          <w:rFonts w:hint="eastAsia" w:ascii="宋体" w:hAnsi="宋体"/>
          <w:bCs/>
          <w:color w:val="000000" w:themeColor="text1"/>
          <w:highlight w:val="none"/>
        </w:rPr>
        <w:tab/>
      </w:r>
      <w:r>
        <w:rPr>
          <w:rFonts w:hint="eastAsia" w:ascii="宋体" w:hAnsi="宋体"/>
          <w:bCs/>
          <w:color w:val="000000" w:themeColor="text1"/>
          <w:highlight w:val="none"/>
        </w:rPr>
        <w:t>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18.2</w:t>
      </w:r>
      <w:r>
        <w:rPr>
          <w:rFonts w:hint="eastAsia" w:ascii="宋体" w:hAnsi="宋体"/>
          <w:bCs/>
          <w:color w:val="000000" w:themeColor="text1"/>
          <w:highlight w:val="none"/>
        </w:rPr>
        <w:tab/>
      </w:r>
      <w:r>
        <w:rPr>
          <w:rFonts w:hint="eastAsia" w:ascii="宋体" w:hAnsi="宋体"/>
          <w:bCs/>
          <w:color w:val="000000" w:themeColor="text1"/>
          <w:highlight w:val="none"/>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bookmarkStart w:id="960" w:name="_Toc333935337"/>
      <w:bookmarkStart w:id="961" w:name="_Toc333237668"/>
      <w:bookmarkStart w:id="962" w:name="_Toc339020224"/>
      <w:bookmarkStart w:id="963" w:name="_Toc339020086"/>
      <w:bookmarkStart w:id="964" w:name="_Toc365985170"/>
      <w:bookmarkStart w:id="965" w:name="_Toc340507433"/>
      <w:bookmarkStart w:id="966" w:name="_Toc374454591"/>
      <w:bookmarkStart w:id="967" w:name="_Toc331512889"/>
      <w:bookmarkStart w:id="968" w:name="_Toc340677061"/>
      <w:bookmarkStart w:id="969" w:name="_Toc332206699"/>
      <w:bookmarkStart w:id="970" w:name="_Toc331684029"/>
      <w:bookmarkStart w:id="971" w:name="_Toc333935678"/>
      <w:bookmarkStart w:id="972" w:name="_Toc341348329"/>
      <w:bookmarkStart w:id="973" w:name="_Toc350438740"/>
      <w:bookmarkStart w:id="974" w:name="_Toc349143580"/>
      <w:bookmarkStart w:id="975" w:name="_Toc503785420"/>
      <w:bookmarkStart w:id="976" w:name="_Toc345513858"/>
      <w:bookmarkStart w:id="977" w:name="_Toc342296751"/>
      <w:bookmarkStart w:id="978" w:name="_Toc339362291"/>
      <w:bookmarkStart w:id="979" w:name="_Toc342060365"/>
      <w:bookmarkStart w:id="980" w:name="_Toc332270337"/>
      <w:bookmarkStart w:id="981" w:name="_Toc333237779"/>
      <w:bookmarkStart w:id="982" w:name="_Toc350756441"/>
      <w:bookmarkStart w:id="983" w:name="_Toc365967064"/>
      <w:bookmarkStart w:id="984" w:name="_Toc339019880"/>
      <w:bookmarkStart w:id="985" w:name="_Toc366072519"/>
      <w:bookmarkStart w:id="986" w:name="_Toc333238624"/>
      <w:bookmarkStart w:id="987" w:name="_Toc330459976"/>
      <w:bookmarkStart w:id="988" w:name="_Toc339441078"/>
      <w:bookmarkStart w:id="989" w:name="_Toc340672860"/>
      <w:bookmarkStart w:id="990" w:name="_Toc336681571"/>
      <w:bookmarkStart w:id="991" w:name="_Toc336681926"/>
      <w:bookmarkStart w:id="992" w:name="_Toc337632349"/>
      <w:bookmarkStart w:id="993" w:name="_Toc497224218"/>
      <w:bookmarkStart w:id="994" w:name="_Toc349127617"/>
      <w:bookmarkStart w:id="995" w:name="_Toc339020006"/>
      <w:r>
        <w:rPr>
          <w:rFonts w:hint="eastAsia" w:ascii="宋体" w:hAnsi="宋体"/>
          <w:bCs/>
          <w:color w:val="000000" w:themeColor="text1"/>
          <w:highlight w:val="none"/>
        </w:rPr>
        <w:t>18.3</w:t>
      </w:r>
      <w:r>
        <w:rPr>
          <w:rFonts w:hint="eastAsia" w:ascii="宋体" w:hAnsi="宋体"/>
          <w:bCs/>
          <w:color w:val="000000" w:themeColor="text1"/>
          <w:highlight w:val="none"/>
        </w:rPr>
        <w:tab/>
      </w:r>
      <w:r>
        <w:rPr>
          <w:rFonts w:hint="eastAsia" w:ascii="宋体" w:hAnsi="宋体"/>
          <w:bCs/>
          <w:color w:val="000000" w:themeColor="text1"/>
          <w:highlight w:val="none"/>
        </w:rPr>
        <w:t>代理采购机构于投标截止时间前30分钟开始接收投标文件，并于招标文件“第一部分投标邀请函”规定的开标时间、开标地点公开开标。</w:t>
      </w:r>
    </w:p>
    <w:p>
      <w:pPr>
        <w:pStyle w:val="6"/>
        <w:numPr>
          <w:ilvl w:val="4"/>
          <w:numId w:val="41"/>
        </w:numPr>
        <w:tabs>
          <w:tab w:val="left" w:pos="720"/>
        </w:tabs>
        <w:spacing w:before="240" w:after="120"/>
        <w:ind w:left="2432" w:hanging="2432"/>
        <w:rPr>
          <w:color w:val="000000" w:themeColor="text1"/>
          <w:highlight w:val="none"/>
        </w:rPr>
      </w:pPr>
      <w:bookmarkStart w:id="996" w:name="_Toc29344"/>
      <w:r>
        <w:rPr>
          <w:rFonts w:hint="eastAsia"/>
          <w:color w:val="000000" w:themeColor="text1"/>
          <w:highlight w:val="none"/>
        </w:rPr>
        <w:t>迟交的投标文件</w:t>
      </w:r>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hint="eastAsia" w:ascii="宋体"/>
          <w:bCs/>
          <w:color w:val="000000" w:themeColor="text1"/>
          <w:highlight w:val="none"/>
        </w:rPr>
        <w:t>19</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代理采购机构将拒绝在投标截止时间后递交的任何投标文件。</w:t>
      </w:r>
    </w:p>
    <w:p>
      <w:pPr>
        <w:pStyle w:val="6"/>
        <w:numPr>
          <w:ilvl w:val="4"/>
          <w:numId w:val="41"/>
        </w:numPr>
        <w:tabs>
          <w:tab w:val="left" w:pos="720"/>
        </w:tabs>
        <w:spacing w:before="240" w:after="120"/>
        <w:ind w:left="2432" w:hanging="2432"/>
        <w:rPr>
          <w:color w:val="000000" w:themeColor="text1"/>
          <w:highlight w:val="none"/>
        </w:rPr>
      </w:pPr>
      <w:bookmarkStart w:id="997" w:name="_Toc497224219"/>
      <w:bookmarkStart w:id="998" w:name="_Toc503785421"/>
      <w:bookmarkStart w:id="999" w:name="_Toc345513859"/>
      <w:bookmarkStart w:id="1000" w:name="_Toc332206700"/>
      <w:bookmarkStart w:id="1001" w:name="_Toc336681927"/>
      <w:bookmarkStart w:id="1002" w:name="_Toc342296752"/>
      <w:bookmarkStart w:id="1003" w:name="_Toc339362292"/>
      <w:bookmarkStart w:id="1004" w:name="_Toc340677062"/>
      <w:bookmarkStart w:id="1005" w:name="_Toc331684030"/>
      <w:bookmarkStart w:id="1006" w:name="_Toc365967065"/>
      <w:bookmarkStart w:id="1007" w:name="_Toc339020007"/>
      <w:bookmarkStart w:id="1008" w:name="_Toc330459977"/>
      <w:bookmarkStart w:id="1009" w:name="_Toc337632350"/>
      <w:bookmarkStart w:id="1010" w:name="_Toc339019881"/>
      <w:bookmarkStart w:id="1011" w:name="_Toc331512890"/>
      <w:bookmarkStart w:id="1012" w:name="_Toc350438741"/>
      <w:bookmarkStart w:id="1013" w:name="_Toc349143581"/>
      <w:bookmarkStart w:id="1014" w:name="_Toc333238625"/>
      <w:bookmarkStart w:id="1015" w:name="_Toc342060366"/>
      <w:bookmarkStart w:id="1016" w:name="_Toc336681572"/>
      <w:bookmarkStart w:id="1017" w:name="_Toc340672861"/>
      <w:bookmarkStart w:id="1018" w:name="_Toc366072520"/>
      <w:bookmarkStart w:id="1019" w:name="_Toc333935679"/>
      <w:bookmarkStart w:id="1020" w:name="_Toc339441079"/>
      <w:bookmarkStart w:id="1021" w:name="_Toc350756442"/>
      <w:bookmarkStart w:id="1022" w:name="_Toc374454592"/>
      <w:bookmarkStart w:id="1023" w:name="_Toc340507434"/>
      <w:bookmarkStart w:id="1024" w:name="_Toc333935338"/>
      <w:bookmarkStart w:id="1025" w:name="_Toc11900"/>
      <w:bookmarkStart w:id="1026" w:name="_Toc333237780"/>
      <w:bookmarkStart w:id="1027" w:name="_Toc349127618"/>
      <w:bookmarkStart w:id="1028" w:name="_Toc333237669"/>
      <w:bookmarkStart w:id="1029" w:name="_Toc341348330"/>
      <w:bookmarkStart w:id="1030" w:name="_Toc339020225"/>
      <w:bookmarkStart w:id="1031" w:name="_Toc365985171"/>
      <w:bookmarkStart w:id="1032" w:name="_Toc332270338"/>
      <w:bookmarkStart w:id="1033" w:name="_Toc339020087"/>
      <w:r>
        <w:rPr>
          <w:rFonts w:hint="eastAsia"/>
          <w:color w:val="000000" w:themeColor="text1"/>
          <w:highlight w:val="none"/>
        </w:rPr>
        <w:t>投标文件的修改和撤</w:t>
      </w:r>
      <w:bookmarkEnd w:id="997"/>
      <w:bookmarkEnd w:id="998"/>
      <w:r>
        <w:rPr>
          <w:rFonts w:hint="eastAsia"/>
          <w:color w:val="000000" w:themeColor="text1"/>
          <w:highlight w:val="none"/>
        </w:rPr>
        <w:t>回</w:t>
      </w:r>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投标人在</w:t>
      </w:r>
      <w:r>
        <w:rPr>
          <w:rFonts w:hint="eastAsia" w:ascii="宋体"/>
          <w:bCs/>
          <w:color w:val="000000" w:themeColor="text1"/>
          <w:highlight w:val="none"/>
          <w:lang w:val="en-US" w:eastAsia="zh-CN"/>
        </w:rPr>
        <w:t>投标</w:t>
      </w:r>
      <w:r>
        <w:rPr>
          <w:rFonts w:hint="eastAsia" w:ascii="宋体"/>
          <w:bCs/>
          <w:color w:val="000000" w:themeColor="text1"/>
          <w:highlight w:val="none"/>
        </w:rPr>
        <w:t>截止时间前，可以修改或撤回其投标文件。但必须在规定的</w:t>
      </w:r>
      <w:r>
        <w:rPr>
          <w:rFonts w:hint="eastAsia" w:ascii="宋体"/>
          <w:bCs/>
          <w:color w:val="000000" w:themeColor="text1"/>
          <w:highlight w:val="none"/>
          <w:lang w:val="en-US" w:eastAsia="zh-CN"/>
        </w:rPr>
        <w:t>投标</w:t>
      </w:r>
      <w:r>
        <w:rPr>
          <w:rFonts w:hint="eastAsia" w:ascii="宋体"/>
          <w:bCs/>
          <w:color w:val="000000" w:themeColor="text1"/>
          <w:highlight w:val="none"/>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从投标截止时间至投标文件有效期期满之前，投标人不得撤回其投标文件，否则代理采购机构将按规定不予退还投标保证金。</w:t>
      </w:r>
    </w:p>
    <w:p>
      <w:pPr>
        <w:pStyle w:val="4"/>
        <w:numPr>
          <w:ilvl w:val="0"/>
          <w:numId w:val="0"/>
        </w:numPr>
        <w:rPr>
          <w:color w:val="000000" w:themeColor="text1"/>
          <w:sz w:val="24"/>
          <w:highlight w:val="none"/>
        </w:rPr>
      </w:pPr>
      <w:bookmarkStart w:id="1034" w:name="_Toc342060367"/>
      <w:bookmarkStart w:id="1035" w:name="_Toc374454593"/>
      <w:bookmarkStart w:id="1036" w:name="_Toc497224220"/>
      <w:bookmarkStart w:id="1037" w:name="_Toc332206701"/>
      <w:bookmarkStart w:id="1038" w:name="_Toc341348331"/>
      <w:bookmarkStart w:id="1039" w:name="_Toc336681928"/>
      <w:bookmarkStart w:id="1040" w:name="_Toc339362293"/>
      <w:bookmarkStart w:id="1041" w:name="_Toc337632351"/>
      <w:bookmarkStart w:id="1042" w:name="_Toc339019882"/>
      <w:bookmarkStart w:id="1043" w:name="_Toc340672862"/>
      <w:bookmarkStart w:id="1044" w:name="_Toc365985172"/>
      <w:bookmarkStart w:id="1045" w:name="_Toc339020008"/>
      <w:bookmarkStart w:id="1046" w:name="_Toc366072521"/>
      <w:bookmarkStart w:id="1047" w:name="_Toc333237670"/>
      <w:bookmarkStart w:id="1048" w:name="_Toc350756443"/>
      <w:bookmarkStart w:id="1049" w:name="_Toc342296753"/>
      <w:bookmarkStart w:id="1050" w:name="_Toc332270339"/>
      <w:bookmarkStart w:id="1051" w:name="_Toc333238626"/>
      <w:bookmarkStart w:id="1052" w:name="_Toc330459978"/>
      <w:bookmarkStart w:id="1053" w:name="_Toc339441080"/>
      <w:bookmarkStart w:id="1054" w:name="_Toc345513860"/>
      <w:bookmarkStart w:id="1055" w:name="_Toc340507435"/>
      <w:bookmarkStart w:id="1056" w:name="_Toc331512891"/>
      <w:bookmarkStart w:id="1057" w:name="_Toc503785422"/>
      <w:bookmarkStart w:id="1058" w:name="_Toc350438742"/>
      <w:bookmarkStart w:id="1059" w:name="_Toc365967066"/>
      <w:bookmarkStart w:id="1060" w:name="_Toc333935339"/>
      <w:bookmarkStart w:id="1061" w:name="_Toc339020226"/>
      <w:bookmarkStart w:id="1062" w:name="_Toc340677063"/>
      <w:bookmarkStart w:id="1063" w:name="_Toc349127619"/>
      <w:bookmarkStart w:id="1064" w:name="_Toc333237781"/>
      <w:bookmarkStart w:id="1065" w:name="_Toc336681573"/>
      <w:bookmarkStart w:id="1066" w:name="_Toc339020088"/>
      <w:bookmarkStart w:id="1067" w:name="_Toc333935680"/>
      <w:bookmarkStart w:id="1068" w:name="_Toc331684031"/>
      <w:bookmarkStart w:id="1069" w:name="_Toc349143582"/>
      <w:r>
        <w:rPr>
          <w:color w:val="000000" w:themeColor="text1"/>
          <w:sz w:val="24"/>
          <w:highlight w:val="none"/>
        </w:rPr>
        <w:br w:type="page"/>
      </w:r>
      <w:bookmarkStart w:id="1070" w:name="_Toc17356"/>
      <w:r>
        <w:rPr>
          <w:rFonts w:hint="eastAsia"/>
          <w:color w:val="000000" w:themeColor="text1"/>
          <w:sz w:val="24"/>
          <w:highlight w:val="none"/>
        </w:rPr>
        <w:t>Ｅ</w:t>
      </w:r>
      <w:r>
        <w:rPr>
          <w:color w:val="000000" w:themeColor="text1"/>
          <w:sz w:val="24"/>
          <w:highlight w:val="none"/>
        </w:rPr>
        <w:t xml:space="preserve">  </w:t>
      </w:r>
      <w:r>
        <w:rPr>
          <w:rFonts w:hint="eastAsia"/>
          <w:color w:val="000000" w:themeColor="text1"/>
          <w:sz w:val="24"/>
          <w:highlight w:val="none"/>
        </w:rPr>
        <w:t>开标和评标</w:t>
      </w:r>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p>
    <w:p>
      <w:pPr>
        <w:pStyle w:val="6"/>
        <w:numPr>
          <w:ilvl w:val="4"/>
          <w:numId w:val="41"/>
        </w:numPr>
        <w:tabs>
          <w:tab w:val="left" w:pos="720"/>
        </w:tabs>
        <w:spacing w:before="240" w:after="120"/>
        <w:ind w:left="2432" w:hanging="2432"/>
        <w:rPr>
          <w:color w:val="000000" w:themeColor="text1"/>
          <w:highlight w:val="none"/>
        </w:rPr>
      </w:pPr>
      <w:bookmarkStart w:id="1071" w:name="_Toc333237671"/>
      <w:bookmarkStart w:id="1072" w:name="_Toc340507436"/>
      <w:bookmarkStart w:id="1073" w:name="_Toc341348332"/>
      <w:bookmarkStart w:id="1074" w:name="_Toc503785423"/>
      <w:bookmarkStart w:id="1075" w:name="_Toc333935340"/>
      <w:bookmarkStart w:id="1076" w:name="_Toc342060368"/>
      <w:bookmarkStart w:id="1077" w:name="_Toc366072522"/>
      <w:bookmarkStart w:id="1078" w:name="_Toc330459979"/>
      <w:bookmarkStart w:id="1079" w:name="_Toc345513861"/>
      <w:bookmarkStart w:id="1080" w:name="_Toc365967067"/>
      <w:bookmarkStart w:id="1081" w:name="_Toc331684032"/>
      <w:bookmarkStart w:id="1082" w:name="_Toc333237782"/>
      <w:bookmarkStart w:id="1083" w:name="_Toc333238627"/>
      <w:bookmarkStart w:id="1084" w:name="_Toc339020089"/>
      <w:bookmarkStart w:id="1085" w:name="_Toc340677064"/>
      <w:bookmarkStart w:id="1086" w:name="_Toc340672863"/>
      <w:bookmarkStart w:id="1087" w:name="_Toc333935681"/>
      <w:bookmarkStart w:id="1088" w:name="_Toc350438743"/>
      <w:bookmarkStart w:id="1089" w:name="_Toc339441081"/>
      <w:bookmarkStart w:id="1090" w:name="_Toc497224221"/>
      <w:bookmarkStart w:id="1091" w:name="_Toc339020227"/>
      <w:bookmarkStart w:id="1092" w:name="_Toc342296754"/>
      <w:bookmarkStart w:id="1093" w:name="_Toc365985173"/>
      <w:bookmarkStart w:id="1094" w:name="_Toc331512892"/>
      <w:bookmarkStart w:id="1095" w:name="_Toc349143583"/>
      <w:bookmarkStart w:id="1096" w:name="_Toc374454594"/>
      <w:bookmarkStart w:id="1097" w:name="_Toc339019883"/>
      <w:bookmarkStart w:id="1098" w:name="_Toc337632352"/>
      <w:bookmarkStart w:id="1099" w:name="_Toc339020009"/>
      <w:bookmarkStart w:id="1100" w:name="_Toc332270340"/>
      <w:bookmarkStart w:id="1101" w:name="_Toc349127620"/>
      <w:bookmarkStart w:id="1102" w:name="_Toc332206702"/>
      <w:bookmarkStart w:id="1103" w:name="_Toc339362294"/>
      <w:bookmarkStart w:id="1104" w:name="_Toc350756444"/>
      <w:bookmarkStart w:id="1105" w:name="_Toc336681929"/>
      <w:bookmarkStart w:id="1106" w:name="_Toc17956"/>
      <w:bookmarkStart w:id="1107" w:name="_Toc336681574"/>
      <w:r>
        <w:rPr>
          <w:rFonts w:hint="eastAsia"/>
          <w:color w:val="000000" w:themeColor="text1"/>
          <w:highlight w:val="none"/>
        </w:rPr>
        <w:t>开标</w:t>
      </w:r>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.2</w:t>
      </w:r>
      <w:r>
        <w:rPr>
          <w:rFonts w:hint="eastAsia" w:ascii="宋体" w:hAnsi="宋体"/>
          <w:bCs/>
          <w:color w:val="000000" w:themeColor="text1"/>
          <w:highlight w:val="none"/>
        </w:rPr>
        <w:tab/>
      </w:r>
      <w:r>
        <w:rPr>
          <w:rFonts w:hint="eastAsia" w:ascii="宋体" w:hAnsi="宋体"/>
          <w:bCs/>
          <w:color w:val="000000" w:themeColor="text1"/>
          <w:highlight w:val="none"/>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21.4</w:t>
      </w:r>
      <w:r>
        <w:rPr>
          <w:rFonts w:hint="eastAsia" w:ascii="宋体" w:hAnsi="宋体"/>
          <w:bCs/>
          <w:color w:val="000000" w:themeColor="text1"/>
          <w:highlight w:val="none"/>
        </w:rPr>
        <w:tab/>
      </w:r>
      <w:r>
        <w:rPr>
          <w:rFonts w:hint="eastAsia" w:ascii="宋体" w:hAnsi="宋体"/>
          <w:bCs/>
          <w:color w:val="000000" w:themeColor="text1"/>
          <w:highlight w:val="none"/>
        </w:rPr>
        <w:t>唱标结束后，代理采购机构将做唱标记录，并按规定在唱标记录上签字。</w:t>
      </w:r>
    </w:p>
    <w:p>
      <w:pPr>
        <w:pStyle w:val="6"/>
        <w:numPr>
          <w:ilvl w:val="4"/>
          <w:numId w:val="41"/>
        </w:numPr>
        <w:tabs>
          <w:tab w:val="left" w:pos="720"/>
        </w:tabs>
        <w:spacing w:before="240" w:after="120"/>
        <w:ind w:left="752" w:hanging="751" w:hangingChars="358"/>
        <w:rPr>
          <w:rFonts w:ascii="宋体" w:hAnsi="宋体"/>
          <w:color w:val="000000" w:themeColor="text1"/>
          <w:highlight w:val="none"/>
        </w:rPr>
      </w:pPr>
      <w:bookmarkStart w:id="1108" w:name="_Toc349143584"/>
      <w:bookmarkStart w:id="1109" w:name="_Toc333237672"/>
      <w:bookmarkStart w:id="1110" w:name="_Toc333935682"/>
      <w:bookmarkStart w:id="1111" w:name="_Toc340677065"/>
      <w:bookmarkStart w:id="1112" w:name="_Toc366072523"/>
      <w:bookmarkStart w:id="1113" w:name="_Toc342296755"/>
      <w:bookmarkStart w:id="1114" w:name="_Toc342060369"/>
      <w:bookmarkStart w:id="1115" w:name="_Toc497224222"/>
      <w:bookmarkStart w:id="1116" w:name="_Toc340672864"/>
      <w:bookmarkStart w:id="1117" w:name="_Toc332270341"/>
      <w:bookmarkStart w:id="1118" w:name="_Toc341348333"/>
      <w:bookmarkStart w:id="1119" w:name="_Toc333237783"/>
      <w:bookmarkStart w:id="1120" w:name="_Toc339020228"/>
      <w:bookmarkStart w:id="1121" w:name="_Toc365985174"/>
      <w:bookmarkStart w:id="1122" w:name="_Toc339019884"/>
      <w:bookmarkStart w:id="1123" w:name="_Toc339441082"/>
      <w:bookmarkStart w:id="1124" w:name="_Toc24945"/>
      <w:bookmarkStart w:id="1125" w:name="_Toc336681930"/>
      <w:bookmarkStart w:id="1126" w:name="_Toc332206703"/>
      <w:bookmarkStart w:id="1127" w:name="_Toc331512893"/>
      <w:bookmarkStart w:id="1128" w:name="_Toc349127621"/>
      <w:bookmarkStart w:id="1129" w:name="_Toc331684033"/>
      <w:bookmarkStart w:id="1130" w:name="_Toc337632353"/>
      <w:bookmarkStart w:id="1131" w:name="_Toc340507437"/>
      <w:bookmarkStart w:id="1132" w:name="_Toc339020010"/>
      <w:bookmarkStart w:id="1133" w:name="_Toc339020090"/>
      <w:bookmarkStart w:id="1134" w:name="_Toc336681575"/>
      <w:bookmarkStart w:id="1135" w:name="_Toc339362295"/>
      <w:bookmarkStart w:id="1136" w:name="_Toc365967068"/>
      <w:bookmarkStart w:id="1137" w:name="_Toc374454595"/>
      <w:bookmarkStart w:id="1138" w:name="_Toc503785424"/>
      <w:bookmarkStart w:id="1139" w:name="_Toc350438744"/>
      <w:bookmarkStart w:id="1140" w:name="_Toc350756445"/>
      <w:bookmarkStart w:id="1141" w:name="_Toc330459980"/>
      <w:bookmarkStart w:id="1142" w:name="_Toc345513862"/>
      <w:bookmarkStart w:id="1143" w:name="_Toc333935341"/>
      <w:bookmarkStart w:id="1144" w:name="_Toc333238628"/>
      <w:r>
        <w:rPr>
          <w:rFonts w:hint="eastAsia"/>
          <w:color w:val="000000" w:themeColor="text1"/>
          <w:highlight w:val="none"/>
        </w:rPr>
        <w:t>评标委员会</w:t>
      </w:r>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r>
        <w:rPr>
          <w:rFonts w:hint="eastAsia" w:ascii="宋体" w:hAnsi="宋体"/>
          <w:color w:val="000000" w:themeColor="text1"/>
          <w:highlight w:val="none"/>
        </w:rPr>
        <w:t xml:space="preserve"> </w:t>
      </w:r>
    </w:p>
    <w:p>
      <w:pPr>
        <w:pStyle w:val="5"/>
        <w:rPr>
          <w:color w:val="000000" w:themeColor="text1"/>
          <w:highlight w:val="none"/>
        </w:rPr>
      </w:pPr>
      <w:r>
        <w:rPr>
          <w:color w:val="000000" w:themeColor="text1"/>
          <w:highlight w:val="none"/>
        </w:rPr>
        <w:t xml:space="preserve">  </w:t>
      </w:r>
      <w:r>
        <w:rPr>
          <w:rFonts w:hint="eastAsia" w:ascii="黑体" w:eastAsia="黑体"/>
          <w:bCs/>
          <w:color w:val="000000" w:themeColor="text1"/>
          <w:kern w:val="2"/>
          <w:sz w:val="21"/>
          <w:szCs w:val="24"/>
          <w:highlight w:val="none"/>
        </w:rPr>
        <w:t>详见第三部份《投标人须知〈投标人须知前附表〉》。</w:t>
      </w:r>
    </w:p>
    <w:p>
      <w:pPr>
        <w:pStyle w:val="6"/>
        <w:numPr>
          <w:ilvl w:val="4"/>
          <w:numId w:val="41"/>
        </w:numPr>
        <w:tabs>
          <w:tab w:val="left" w:pos="720"/>
        </w:tabs>
        <w:spacing w:before="240" w:after="120"/>
        <w:ind w:left="2432" w:hanging="2432"/>
        <w:rPr>
          <w:color w:val="000000" w:themeColor="text1"/>
          <w:highlight w:val="none"/>
        </w:rPr>
      </w:pPr>
      <w:bookmarkStart w:id="1145" w:name="_Toc333237673"/>
      <w:bookmarkStart w:id="1146" w:name="_Toc349127622"/>
      <w:bookmarkStart w:id="1147" w:name="_Toc332270342"/>
      <w:bookmarkStart w:id="1148" w:name="_Toc374454596"/>
      <w:bookmarkStart w:id="1149" w:name="_Toc342296756"/>
      <w:bookmarkStart w:id="1150" w:name="_Toc345513863"/>
      <w:bookmarkStart w:id="1151" w:name="_Toc342060370"/>
      <w:bookmarkStart w:id="1152" w:name="_Toc339020229"/>
      <w:bookmarkStart w:id="1153" w:name="_Toc331684034"/>
      <w:bookmarkStart w:id="1154" w:name="_Toc339020011"/>
      <w:bookmarkStart w:id="1155" w:name="_Toc333935342"/>
      <w:bookmarkStart w:id="1156" w:name="_Toc331512894"/>
      <w:bookmarkStart w:id="1157" w:name="_Toc365967069"/>
      <w:bookmarkStart w:id="1158" w:name="_Toc333238629"/>
      <w:bookmarkStart w:id="1159" w:name="_Toc339020091"/>
      <w:bookmarkStart w:id="1160" w:name="_Toc503785425"/>
      <w:bookmarkStart w:id="1161" w:name="_Toc341348334"/>
      <w:bookmarkStart w:id="1162" w:name="_Toc365985175"/>
      <w:bookmarkStart w:id="1163" w:name="_Toc339441083"/>
      <w:bookmarkStart w:id="1164" w:name="_Toc340677066"/>
      <w:bookmarkStart w:id="1165" w:name="_Toc340672865"/>
      <w:bookmarkStart w:id="1166" w:name="_Toc350438745"/>
      <w:bookmarkStart w:id="1167" w:name="_Toc366072524"/>
      <w:bookmarkStart w:id="1168" w:name="_Toc332206704"/>
      <w:bookmarkStart w:id="1169" w:name="_Toc497224223"/>
      <w:bookmarkStart w:id="1170" w:name="_Toc340507438"/>
      <w:bookmarkStart w:id="1171" w:name="_Toc337632354"/>
      <w:bookmarkStart w:id="1172" w:name="_Toc333237784"/>
      <w:bookmarkStart w:id="1173" w:name="_Toc350756446"/>
      <w:bookmarkStart w:id="1174" w:name="_Toc330459981"/>
      <w:bookmarkStart w:id="1175" w:name="_Toc339362296"/>
      <w:bookmarkStart w:id="1176" w:name="_Toc339019885"/>
      <w:bookmarkStart w:id="1177" w:name="_Toc349143585"/>
      <w:bookmarkStart w:id="1178" w:name="_Toc333935683"/>
      <w:bookmarkStart w:id="1179" w:name="_Toc336681931"/>
      <w:bookmarkStart w:id="1180" w:name="_Toc336681576"/>
      <w:bookmarkStart w:id="1181" w:name="_Toc11512"/>
      <w:r>
        <w:rPr>
          <w:rFonts w:hint="eastAsia"/>
          <w:color w:val="000000" w:themeColor="text1"/>
          <w:highlight w:val="none"/>
        </w:rPr>
        <w:t>对投标文件的初审和响应性的确定</w:t>
      </w:r>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rPr>
      </w:pPr>
      <w:r>
        <w:rPr>
          <w:rFonts w:hint="eastAsia" w:ascii="宋体"/>
          <w:bCs/>
          <w:color w:val="000000" w:themeColor="text1"/>
          <w:highlight w:val="none"/>
        </w:rPr>
        <w:t xml:space="preserve">23.2  </w:t>
      </w:r>
      <w:r>
        <w:rPr>
          <w:rFonts w:ascii="宋体"/>
          <w:bCs/>
          <w:color w:val="000000" w:themeColor="text1"/>
          <w:highlight w:val="none"/>
        </w:rPr>
        <w:t xml:space="preserve"> </w:t>
      </w:r>
      <w:r>
        <w:rPr>
          <w:rFonts w:hint="eastAsia" w:ascii="宋体" w:hAnsi="宋体"/>
          <w:color w:val="000000" w:themeColor="text1"/>
          <w:highlight w:val="none"/>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rPr>
        <w:t>是</w:t>
      </w:r>
      <w:r>
        <w:rPr>
          <w:rFonts w:hint="eastAsia" w:ascii="宋体"/>
          <w:bCs/>
          <w:color w:val="000000" w:themeColor="text1"/>
          <w:highlight w:val="none"/>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5</w:t>
      </w:r>
      <w:r>
        <w:rPr>
          <w:rFonts w:hint="eastAsia" w:ascii="宋体"/>
          <w:bCs/>
          <w:color w:val="000000" w:themeColor="text1"/>
          <w:highlight w:val="none"/>
        </w:rPr>
        <w:tab/>
      </w:r>
      <w:r>
        <w:rPr>
          <w:rFonts w:hint="eastAsia" w:ascii="宋体" w:hAnsi="宋体"/>
          <w:bCs/>
          <w:color w:val="000000" w:themeColor="text1"/>
          <w:highlight w:val="none"/>
        </w:rPr>
        <w:t>如果发现下列情况之一的，其投标将被拒绝而作无效投标处理：</w:t>
      </w:r>
    </w:p>
    <w:p>
      <w:pPr>
        <w:numPr>
          <w:ilvl w:val="0"/>
          <w:numId w:val="45"/>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资格审查结果为不合格的；</w:t>
      </w:r>
    </w:p>
    <w:p>
      <w:pPr>
        <w:numPr>
          <w:ilvl w:val="0"/>
          <w:numId w:val="45"/>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投标人未提交投标保证金或投标保证金金额不足或无效的；</w:t>
      </w:r>
    </w:p>
    <w:p>
      <w:pPr>
        <w:numPr>
          <w:ilvl w:val="0"/>
          <w:numId w:val="45"/>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投标函</w:t>
      </w:r>
      <w:r>
        <w:rPr>
          <w:rFonts w:ascii="宋体" w:hAnsi="宋体"/>
          <w:bCs/>
          <w:color w:val="000000" w:themeColor="text1"/>
          <w:highlight w:val="none"/>
        </w:rPr>
        <w:t>未加盖</w:t>
      </w:r>
      <w:r>
        <w:rPr>
          <w:rFonts w:hint="eastAsia" w:ascii="宋体" w:hAnsi="宋体"/>
          <w:bCs/>
          <w:color w:val="000000" w:themeColor="text1"/>
          <w:highlight w:val="none"/>
        </w:rPr>
        <w:t>投标人</w:t>
      </w:r>
      <w:r>
        <w:rPr>
          <w:rFonts w:ascii="宋体" w:hAnsi="宋体"/>
          <w:bCs/>
          <w:color w:val="000000" w:themeColor="text1"/>
          <w:highlight w:val="none"/>
        </w:rPr>
        <w:t>公章</w:t>
      </w:r>
      <w:r>
        <w:rPr>
          <w:rFonts w:hint="eastAsia" w:ascii="宋体" w:hAnsi="宋体"/>
          <w:bCs/>
          <w:color w:val="000000" w:themeColor="text1"/>
          <w:highlight w:val="none"/>
        </w:rPr>
        <w:t>或</w:t>
      </w:r>
      <w:r>
        <w:rPr>
          <w:rFonts w:ascii="宋体" w:hAnsi="宋体"/>
          <w:bCs/>
          <w:color w:val="000000" w:themeColor="text1"/>
          <w:highlight w:val="none"/>
        </w:rPr>
        <w:t>未有法定代表人（负责人）或者被授权人签名的；</w:t>
      </w:r>
    </w:p>
    <w:p>
      <w:pPr>
        <w:numPr>
          <w:ilvl w:val="0"/>
          <w:numId w:val="45"/>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未按招标文件规定格式填写或者字迹模糊不清的；</w:t>
      </w:r>
    </w:p>
    <w:p>
      <w:pPr>
        <w:numPr>
          <w:ilvl w:val="0"/>
          <w:numId w:val="45"/>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投标报价超出最高投标报价（预算价）上限的；</w:t>
      </w:r>
    </w:p>
    <w:p>
      <w:pPr>
        <w:numPr>
          <w:ilvl w:val="0"/>
          <w:numId w:val="45"/>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 xml:space="preserve">投标文件载明的招标项目完工期（服务期）超过招标文件规定的期限，或服务期不满足招标文件规定要求的； </w:t>
      </w:r>
    </w:p>
    <w:p>
      <w:pPr>
        <w:numPr>
          <w:ilvl w:val="0"/>
          <w:numId w:val="45"/>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投标有效期不足的；</w:t>
      </w:r>
    </w:p>
    <w:p>
      <w:pPr>
        <w:numPr>
          <w:ilvl w:val="0"/>
          <w:numId w:val="45"/>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投标文件附有采购人或代理采购机构不能接受的条件的；</w:t>
      </w:r>
    </w:p>
    <w:p>
      <w:pPr>
        <w:numPr>
          <w:ilvl w:val="0"/>
          <w:numId w:val="45"/>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招标文件规定的其他实质性要求的；</w:t>
      </w:r>
    </w:p>
    <w:p>
      <w:pPr>
        <w:numPr>
          <w:ilvl w:val="0"/>
          <w:numId w:val="45"/>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法律、法规规定的其他废标条款。</w:t>
      </w:r>
    </w:p>
    <w:p>
      <w:pPr>
        <w:pStyle w:val="6"/>
        <w:numPr>
          <w:ilvl w:val="4"/>
          <w:numId w:val="41"/>
        </w:numPr>
        <w:tabs>
          <w:tab w:val="left" w:pos="720"/>
        </w:tabs>
        <w:spacing w:before="240" w:after="120"/>
        <w:ind w:left="2432" w:hanging="2432"/>
        <w:rPr>
          <w:color w:val="000000" w:themeColor="text1"/>
          <w:highlight w:val="none"/>
        </w:rPr>
      </w:pPr>
      <w:bookmarkStart w:id="1182" w:name="_Toc350438746"/>
      <w:bookmarkStart w:id="1183" w:name="_Toc332206705"/>
      <w:bookmarkStart w:id="1184" w:name="_Toc336681577"/>
      <w:bookmarkStart w:id="1185" w:name="_Toc345513864"/>
      <w:bookmarkStart w:id="1186" w:name="_Toc349143586"/>
      <w:bookmarkStart w:id="1187" w:name="_Toc342060371"/>
      <w:bookmarkStart w:id="1188" w:name="_Toc349127623"/>
      <w:bookmarkStart w:id="1189" w:name="_Toc374454597"/>
      <w:bookmarkStart w:id="1190" w:name="_Toc333238630"/>
      <w:bookmarkStart w:id="1191" w:name="_Toc339362297"/>
      <w:bookmarkStart w:id="1192" w:name="_Toc332270343"/>
      <w:bookmarkStart w:id="1193" w:name="_Toc333237785"/>
      <w:bookmarkStart w:id="1194" w:name="_Toc342296757"/>
      <w:bookmarkStart w:id="1195" w:name="_Toc350756447"/>
      <w:bookmarkStart w:id="1196" w:name="_Toc9421"/>
      <w:bookmarkStart w:id="1197" w:name="_Toc340507439"/>
      <w:bookmarkStart w:id="1198" w:name="_Toc365967070"/>
      <w:bookmarkStart w:id="1199" w:name="_Toc339441084"/>
      <w:bookmarkStart w:id="1200" w:name="_Toc331512895"/>
      <w:bookmarkStart w:id="1201" w:name="_Toc333935684"/>
      <w:bookmarkStart w:id="1202" w:name="_Toc339020230"/>
      <w:bookmarkStart w:id="1203" w:name="_Toc339020012"/>
      <w:bookmarkStart w:id="1204" w:name="_Toc333237674"/>
      <w:bookmarkStart w:id="1205" w:name="_Toc365985176"/>
      <w:bookmarkStart w:id="1206" w:name="_Toc336681932"/>
      <w:bookmarkStart w:id="1207" w:name="_Toc340677067"/>
      <w:bookmarkStart w:id="1208" w:name="_Toc341348335"/>
      <w:bookmarkStart w:id="1209" w:name="_Toc333935343"/>
      <w:bookmarkStart w:id="1210" w:name="_Toc337632355"/>
      <w:bookmarkStart w:id="1211" w:name="_Toc339020092"/>
      <w:bookmarkStart w:id="1212" w:name="_Toc339019886"/>
      <w:bookmarkStart w:id="1213" w:name="_Toc340672866"/>
      <w:bookmarkStart w:id="1214" w:name="_Toc330459982"/>
      <w:bookmarkStart w:id="1215" w:name="_Toc331684035"/>
      <w:bookmarkStart w:id="1216" w:name="_Toc366072525"/>
      <w:r>
        <w:rPr>
          <w:rFonts w:hint="eastAsia"/>
          <w:color w:val="000000" w:themeColor="text1"/>
          <w:highlight w:val="none"/>
        </w:rPr>
        <w:t>投标报价的审核</w:t>
      </w:r>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p>
    <w:p>
      <w:pPr>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24.1</w:t>
      </w:r>
      <w:r>
        <w:rPr>
          <w:rFonts w:hint="eastAsia" w:ascii="宋体" w:hAnsi="宋体"/>
          <w:bCs/>
          <w:color w:val="000000" w:themeColor="text1"/>
          <w:highlight w:val="none"/>
        </w:rPr>
        <w:tab/>
      </w:r>
      <w:r>
        <w:rPr>
          <w:rFonts w:hint="eastAsia" w:ascii="宋体" w:hAnsi="宋体"/>
          <w:bCs/>
          <w:color w:val="000000" w:themeColor="text1"/>
          <w:highlight w:val="none"/>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000000" w:themeColor="text1"/>
          <w:highlight w:val="none"/>
        </w:rPr>
      </w:pPr>
      <w:r>
        <w:rPr>
          <w:rFonts w:hint="eastAsia" w:ascii="宋体" w:hAnsi="宋体"/>
          <w:bCs/>
          <w:color w:val="000000" w:themeColor="text1"/>
          <w:highlight w:val="none"/>
        </w:rPr>
        <w:t xml:space="preserve">24.2   </w:t>
      </w:r>
      <w:r>
        <w:rPr>
          <w:rFonts w:ascii="宋体" w:hAnsi="宋体"/>
          <w:bCs/>
          <w:color w:val="000000" w:themeColor="text1"/>
          <w:highlight w:val="none"/>
        </w:rPr>
        <w:t>（1）</w:t>
      </w:r>
      <w:r>
        <w:rPr>
          <w:rFonts w:hint="eastAsia" w:ascii="宋体" w:hAnsi="宋体"/>
          <w:bCs/>
          <w:color w:val="000000" w:themeColor="text1"/>
          <w:highlight w:val="none"/>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大写金额和小写金额不一致的，以大写金额为准;</w:t>
      </w:r>
    </w:p>
    <w:p>
      <w:pPr>
        <w:spacing w:line="360" w:lineRule="auto"/>
        <w:ind w:firstLine="735" w:firstLineChars="350"/>
        <w:jc w:val="left"/>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（4）</w:t>
      </w:r>
      <w:r>
        <w:rPr>
          <w:rFonts w:hint="eastAsia" w:ascii="宋体" w:hAnsi="宋体"/>
          <w:bCs/>
          <w:color w:val="000000" w:themeColor="text1"/>
          <w:highlight w:val="none"/>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rPr>
      </w:pPr>
      <w:r>
        <w:rPr>
          <w:rFonts w:ascii="宋体" w:hAnsi="宋体"/>
          <w:bCs/>
          <w:color w:val="000000" w:themeColor="text1"/>
          <w:highlight w:val="none"/>
        </w:rPr>
        <w:t>（5）</w:t>
      </w:r>
      <w:r>
        <w:rPr>
          <w:rFonts w:hint="eastAsia" w:ascii="宋体" w:hAnsi="宋体"/>
          <w:bCs/>
          <w:color w:val="000000" w:themeColor="text1"/>
          <w:highlight w:val="none"/>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6"/>
        <w:numPr>
          <w:ilvl w:val="4"/>
          <w:numId w:val="41"/>
        </w:numPr>
        <w:tabs>
          <w:tab w:val="left" w:pos="720"/>
        </w:tabs>
        <w:spacing w:before="240" w:after="120"/>
        <w:ind w:left="2432" w:hanging="2432"/>
        <w:rPr>
          <w:color w:val="000000" w:themeColor="text1"/>
          <w:highlight w:val="none"/>
        </w:rPr>
      </w:pPr>
      <w:bookmarkStart w:id="1217" w:name="_Toc332206706"/>
      <w:bookmarkStart w:id="1218" w:name="_Toc342060372"/>
      <w:bookmarkStart w:id="1219" w:name="_Toc333237786"/>
      <w:bookmarkStart w:id="1220" w:name="_Toc503785426"/>
      <w:bookmarkStart w:id="1221" w:name="_Toc349143587"/>
      <w:bookmarkStart w:id="1222" w:name="_Toc366072526"/>
      <w:bookmarkStart w:id="1223" w:name="_Toc365967071"/>
      <w:bookmarkStart w:id="1224" w:name="_Toc331512896"/>
      <w:bookmarkStart w:id="1225" w:name="_Toc336681578"/>
      <w:bookmarkStart w:id="1226" w:name="_Toc365985177"/>
      <w:bookmarkStart w:id="1227" w:name="_Toc339020231"/>
      <w:bookmarkStart w:id="1228" w:name="_Toc340672867"/>
      <w:bookmarkStart w:id="1229" w:name="_Toc350756448"/>
      <w:bookmarkStart w:id="1230" w:name="_Toc342296758"/>
      <w:bookmarkStart w:id="1231" w:name="_Toc336681933"/>
      <w:bookmarkStart w:id="1232" w:name="_Toc331684036"/>
      <w:bookmarkStart w:id="1233" w:name="_Toc333935685"/>
      <w:bookmarkStart w:id="1234" w:name="_Toc22018"/>
      <w:bookmarkStart w:id="1235" w:name="_Toc339441085"/>
      <w:bookmarkStart w:id="1236" w:name="_Toc341348336"/>
      <w:bookmarkStart w:id="1237" w:name="_Toc339020013"/>
      <w:bookmarkStart w:id="1238" w:name="_Toc349127624"/>
      <w:bookmarkStart w:id="1239" w:name="_Toc345513865"/>
      <w:bookmarkStart w:id="1240" w:name="_Toc340507440"/>
      <w:bookmarkStart w:id="1241" w:name="_Toc340677068"/>
      <w:bookmarkStart w:id="1242" w:name="_Toc339020093"/>
      <w:bookmarkStart w:id="1243" w:name="_Toc339362298"/>
      <w:bookmarkStart w:id="1244" w:name="_Toc337632356"/>
      <w:bookmarkStart w:id="1245" w:name="_Toc339019887"/>
      <w:bookmarkStart w:id="1246" w:name="_Toc330459983"/>
      <w:bookmarkStart w:id="1247" w:name="_Toc497224224"/>
      <w:bookmarkStart w:id="1248" w:name="_Toc333238631"/>
      <w:bookmarkStart w:id="1249" w:name="_Toc332270344"/>
      <w:bookmarkStart w:id="1250" w:name="_Toc333237675"/>
      <w:bookmarkStart w:id="1251" w:name="_Toc333935344"/>
      <w:bookmarkStart w:id="1252" w:name="_Toc350438747"/>
      <w:bookmarkStart w:id="1253" w:name="_Toc374454598"/>
      <w:r>
        <w:rPr>
          <w:rFonts w:hint="eastAsia"/>
          <w:color w:val="000000" w:themeColor="text1"/>
          <w:highlight w:val="none"/>
        </w:rPr>
        <w:t>询标及投标文件的澄清</w:t>
      </w:r>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rPr>
      </w:pPr>
      <w:r>
        <w:rPr>
          <w:rFonts w:ascii="宋体"/>
          <w:color w:val="000000" w:themeColor="text1"/>
          <w:highlight w:val="none"/>
        </w:rPr>
        <w:t>2</w:t>
      </w:r>
      <w:r>
        <w:rPr>
          <w:rFonts w:hint="eastAsia" w:ascii="宋体"/>
          <w:color w:val="000000" w:themeColor="text1"/>
          <w:highlight w:val="none"/>
        </w:rPr>
        <w:t>5</w:t>
      </w:r>
      <w:r>
        <w:rPr>
          <w:rFonts w:ascii="宋体"/>
          <w:color w:val="000000" w:themeColor="text1"/>
          <w:highlight w:val="none"/>
        </w:rPr>
        <w:t>.2</w:t>
      </w:r>
      <w:r>
        <w:rPr>
          <w:rFonts w:hint="eastAsia" w:ascii="宋体"/>
          <w:color w:val="000000" w:themeColor="text1"/>
          <w:highlight w:val="none"/>
        </w:rPr>
        <w:tab/>
      </w:r>
      <w:r>
        <w:rPr>
          <w:rFonts w:hint="eastAsia" w:ascii="宋体"/>
          <w:color w:val="000000" w:themeColor="text1"/>
          <w:highlight w:val="none"/>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rPr>
      </w:pPr>
      <w:r>
        <w:rPr>
          <w:rFonts w:hint="eastAsia" w:ascii="宋体" w:hAnsi="宋体"/>
          <w:color w:val="000000" w:themeColor="text1"/>
          <w:highlight w:val="none"/>
        </w:rPr>
        <w:t>25.3</w:t>
      </w:r>
      <w:r>
        <w:rPr>
          <w:rFonts w:hint="eastAsia"/>
          <w:color w:val="000000" w:themeColor="text1"/>
          <w:highlight w:val="none"/>
        </w:rPr>
        <w:tab/>
      </w:r>
      <w:r>
        <w:rPr>
          <w:rFonts w:hint="eastAsia" w:cs="Arial Unicode MS"/>
          <w:color w:val="000000" w:themeColor="text1"/>
          <w:highlight w:val="none"/>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6"/>
        <w:numPr>
          <w:ilvl w:val="4"/>
          <w:numId w:val="41"/>
        </w:numPr>
        <w:tabs>
          <w:tab w:val="left" w:pos="720"/>
        </w:tabs>
        <w:spacing w:before="240" w:after="120"/>
        <w:ind w:left="2432" w:hanging="2432"/>
        <w:rPr>
          <w:color w:val="000000" w:themeColor="text1"/>
          <w:highlight w:val="none"/>
        </w:rPr>
      </w:pPr>
      <w:bookmarkStart w:id="1254" w:name="_Toc339019888"/>
      <w:bookmarkStart w:id="1255" w:name="_Toc337632357"/>
      <w:bookmarkStart w:id="1256" w:name="_Toc339020014"/>
      <w:bookmarkStart w:id="1257" w:name="_Toc349127625"/>
      <w:bookmarkStart w:id="1258" w:name="_Toc333238632"/>
      <w:bookmarkStart w:id="1259" w:name="_Toc331684037"/>
      <w:bookmarkStart w:id="1260" w:name="_Toc16503"/>
      <w:bookmarkStart w:id="1261" w:name="_Toc333237787"/>
      <w:bookmarkStart w:id="1262" w:name="_Toc339020094"/>
      <w:bookmarkStart w:id="1263" w:name="_Toc349143588"/>
      <w:bookmarkStart w:id="1264" w:name="_Toc336681579"/>
      <w:bookmarkStart w:id="1265" w:name="_Toc345513866"/>
      <w:bookmarkStart w:id="1266" w:name="_Toc365985178"/>
      <w:bookmarkStart w:id="1267" w:name="_Toc332270345"/>
      <w:bookmarkStart w:id="1268" w:name="_Toc340672868"/>
      <w:bookmarkStart w:id="1269" w:name="_Toc374454599"/>
      <w:bookmarkStart w:id="1270" w:name="_Toc366072527"/>
      <w:bookmarkStart w:id="1271" w:name="_Toc339020232"/>
      <w:bookmarkStart w:id="1272" w:name="_Toc365967072"/>
      <w:bookmarkStart w:id="1273" w:name="_Toc340677069"/>
      <w:bookmarkStart w:id="1274" w:name="_Toc330459984"/>
      <w:bookmarkStart w:id="1275" w:name="_Toc333237676"/>
      <w:bookmarkStart w:id="1276" w:name="_Toc332206707"/>
      <w:bookmarkStart w:id="1277" w:name="_Toc340507441"/>
      <w:bookmarkStart w:id="1278" w:name="_Toc350438748"/>
      <w:bookmarkStart w:id="1279" w:name="_Toc339362299"/>
      <w:bookmarkStart w:id="1280" w:name="_Toc336681934"/>
      <w:bookmarkStart w:id="1281" w:name="_Toc333935686"/>
      <w:bookmarkStart w:id="1282" w:name="_Toc342296759"/>
      <w:bookmarkStart w:id="1283" w:name="_Toc331512897"/>
      <w:bookmarkStart w:id="1284" w:name="_Toc341348337"/>
      <w:bookmarkStart w:id="1285" w:name="_Toc342060373"/>
      <w:bookmarkStart w:id="1286" w:name="_Toc339441086"/>
      <w:bookmarkStart w:id="1287" w:name="_Toc350756449"/>
      <w:bookmarkStart w:id="1288" w:name="_Toc333935345"/>
      <w:r>
        <w:rPr>
          <w:rFonts w:hint="eastAsia"/>
          <w:color w:val="000000" w:themeColor="text1"/>
          <w:highlight w:val="none"/>
        </w:rPr>
        <w:t>评标原则</w:t>
      </w:r>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26.2</w:t>
      </w:r>
      <w:r>
        <w:rPr>
          <w:rFonts w:hint="eastAsia" w:ascii="宋体"/>
          <w:bCs/>
          <w:color w:val="000000" w:themeColor="text1"/>
          <w:highlight w:val="none"/>
        </w:rPr>
        <w:tab/>
      </w:r>
      <w:r>
        <w:rPr>
          <w:rFonts w:hint="eastAsia" w:ascii="宋体"/>
          <w:bCs/>
          <w:color w:val="000000" w:themeColor="text1"/>
          <w:highlight w:val="none"/>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26.3</w:t>
      </w:r>
      <w:r>
        <w:rPr>
          <w:rFonts w:hint="eastAsia" w:ascii="宋体"/>
          <w:bCs/>
          <w:color w:val="000000" w:themeColor="text1"/>
          <w:highlight w:val="none"/>
        </w:rPr>
        <w:tab/>
      </w:r>
      <w:r>
        <w:rPr>
          <w:rFonts w:hint="eastAsia" w:ascii="宋体"/>
          <w:bCs/>
          <w:color w:val="000000" w:themeColor="text1"/>
          <w:highlight w:val="none"/>
        </w:rPr>
        <w:t>实行科学评估、集体决策。</w:t>
      </w:r>
    </w:p>
    <w:p>
      <w:pPr>
        <w:pStyle w:val="6"/>
        <w:numPr>
          <w:ilvl w:val="4"/>
          <w:numId w:val="41"/>
        </w:numPr>
        <w:tabs>
          <w:tab w:val="left" w:pos="720"/>
        </w:tabs>
        <w:spacing w:before="240" w:after="120"/>
        <w:ind w:left="2432" w:hanging="2432"/>
        <w:rPr>
          <w:color w:val="000000" w:themeColor="text1"/>
          <w:highlight w:val="none"/>
        </w:rPr>
      </w:pPr>
      <w:bookmarkStart w:id="1289" w:name="_Toc349127626"/>
      <w:bookmarkStart w:id="1290" w:name="_Toc333935346"/>
      <w:bookmarkStart w:id="1291" w:name="_Toc339362300"/>
      <w:bookmarkStart w:id="1292" w:name="_Toc366072528"/>
      <w:bookmarkStart w:id="1293" w:name="_Toc339020015"/>
      <w:bookmarkStart w:id="1294" w:name="_Toc339019889"/>
      <w:bookmarkStart w:id="1295" w:name="_Toc333237788"/>
      <w:bookmarkStart w:id="1296" w:name="_Toc340507442"/>
      <w:bookmarkStart w:id="1297" w:name="_Toc332206708"/>
      <w:bookmarkStart w:id="1298" w:name="_Toc333237677"/>
      <w:bookmarkStart w:id="1299" w:name="_Toc350756450"/>
      <w:bookmarkStart w:id="1300" w:name="_Toc365967073"/>
      <w:bookmarkStart w:id="1301" w:name="_Toc340677070"/>
      <w:bookmarkStart w:id="1302" w:name="_Toc350438749"/>
      <w:bookmarkStart w:id="1303" w:name="_Toc342060374"/>
      <w:bookmarkStart w:id="1304" w:name="_Toc349143589"/>
      <w:bookmarkStart w:id="1305" w:name="_Toc333238633"/>
      <w:bookmarkStart w:id="1306" w:name="_Toc339020233"/>
      <w:bookmarkStart w:id="1307" w:name="_Toc337632358"/>
      <w:bookmarkStart w:id="1308" w:name="_Toc341348338"/>
      <w:bookmarkStart w:id="1309" w:name="_Toc374454600"/>
      <w:bookmarkStart w:id="1310" w:name="_Toc340672869"/>
      <w:bookmarkStart w:id="1311" w:name="_Toc339020095"/>
      <w:bookmarkStart w:id="1312" w:name="_Toc339441087"/>
      <w:bookmarkStart w:id="1313" w:name="_Toc336681580"/>
      <w:bookmarkStart w:id="1314" w:name="_Toc332270346"/>
      <w:bookmarkStart w:id="1315" w:name="_Toc330459985"/>
      <w:bookmarkStart w:id="1316" w:name="_Toc342296760"/>
      <w:bookmarkStart w:id="1317" w:name="_Toc331684038"/>
      <w:bookmarkStart w:id="1318" w:name="_Toc331512898"/>
      <w:bookmarkStart w:id="1319" w:name="_Toc333935687"/>
      <w:bookmarkStart w:id="1320" w:name="_Toc365985179"/>
      <w:bookmarkStart w:id="1321" w:name="_Toc345513867"/>
      <w:bookmarkStart w:id="1322" w:name="_Toc28239"/>
      <w:bookmarkStart w:id="1323" w:name="_Toc336681935"/>
      <w:r>
        <w:rPr>
          <w:rFonts w:hint="eastAsia"/>
          <w:color w:val="000000" w:themeColor="text1"/>
          <w:highlight w:val="none"/>
        </w:rPr>
        <w:t>评标标准和办法</w:t>
      </w:r>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p>
    <w:p>
      <w:pPr>
        <w:pStyle w:val="24"/>
        <w:tabs>
          <w:tab w:val="left" w:pos="753"/>
        </w:tabs>
        <w:adjustRightInd w:val="0"/>
        <w:snapToGrid w:val="0"/>
        <w:spacing w:line="360" w:lineRule="auto"/>
        <w:ind w:left="751" w:leftChars="1" w:hanging="749" w:hangingChars="357"/>
        <w:rPr>
          <w:rFonts w:hAnsi="宋体"/>
          <w:bCs/>
          <w:color w:val="000000" w:themeColor="text1"/>
          <w:highlight w:val="none"/>
        </w:rPr>
      </w:pPr>
      <w:r>
        <w:rPr>
          <w:rFonts w:hint="eastAsia" w:hAnsi="宋体"/>
          <w:bCs/>
          <w:color w:val="000000" w:themeColor="text1"/>
          <w:highlight w:val="none"/>
        </w:rPr>
        <w:t>27.1</w:t>
      </w:r>
      <w:r>
        <w:rPr>
          <w:rFonts w:hint="eastAsia" w:hAnsi="宋体"/>
          <w:bCs/>
          <w:color w:val="000000" w:themeColor="text1"/>
          <w:highlight w:val="none"/>
        </w:rPr>
        <w:tab/>
      </w:r>
      <w:r>
        <w:rPr>
          <w:rFonts w:hint="eastAsia" w:hAnsi="宋体"/>
          <w:bCs/>
          <w:color w:val="000000" w:themeColor="text1"/>
          <w:highlight w:val="none"/>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4"/>
        <w:widowControl/>
        <w:tabs>
          <w:tab w:val="left" w:pos="753"/>
        </w:tabs>
        <w:adjustRightInd w:val="0"/>
        <w:snapToGrid w:val="0"/>
        <w:spacing w:line="360" w:lineRule="auto"/>
        <w:ind w:left="752" w:hanging="751" w:hangingChars="358"/>
        <w:rPr>
          <w:rFonts w:hAnsi="宋体"/>
          <w:color w:val="000000" w:themeColor="text1"/>
          <w:highlight w:val="none"/>
        </w:rPr>
      </w:pPr>
      <w:r>
        <w:rPr>
          <w:rFonts w:hint="eastAsia" w:hAnsi="宋体"/>
          <w:bCs/>
          <w:color w:val="000000" w:themeColor="text1"/>
          <w:highlight w:val="none"/>
        </w:rPr>
        <w:t>27</w:t>
      </w:r>
      <w:r>
        <w:rPr>
          <w:rFonts w:hAnsi="宋体"/>
          <w:bCs/>
          <w:color w:val="000000" w:themeColor="text1"/>
          <w:highlight w:val="none"/>
        </w:rPr>
        <w:t>.2</w:t>
      </w:r>
      <w:r>
        <w:rPr>
          <w:rFonts w:hint="eastAsia" w:hAnsi="宋体"/>
          <w:bCs/>
          <w:color w:val="000000" w:themeColor="text1"/>
          <w:highlight w:val="none"/>
        </w:rPr>
        <w:tab/>
      </w:r>
      <w:bookmarkStart w:id="1324" w:name="_Toc500861023"/>
      <w:bookmarkStart w:id="1325" w:name="_Toc500953375"/>
      <w:bookmarkStart w:id="1326" w:name="_Toc497707712"/>
      <w:r>
        <w:rPr>
          <w:rFonts w:hint="eastAsia" w:hAnsi="宋体"/>
          <w:bCs/>
          <w:color w:val="000000" w:themeColor="text1"/>
          <w:highlight w:val="none"/>
        </w:rPr>
        <w:t>采用计分法（综合评价法）来确定各投标人的排名。其操作程序为：</w:t>
      </w:r>
      <w:r>
        <w:rPr>
          <w:rFonts w:hint="eastAsia" w:hAnsi="宋体"/>
          <w:b/>
          <w:color w:val="000000" w:themeColor="text1"/>
          <w:highlight w:val="none"/>
        </w:rPr>
        <w:t>详见H评标细则。</w:t>
      </w:r>
    </w:p>
    <w:p>
      <w:pPr>
        <w:pStyle w:val="6"/>
        <w:numPr>
          <w:ilvl w:val="4"/>
          <w:numId w:val="41"/>
        </w:numPr>
        <w:tabs>
          <w:tab w:val="left" w:pos="720"/>
        </w:tabs>
        <w:spacing w:before="240" w:after="120"/>
        <w:ind w:left="2432" w:hanging="2432"/>
        <w:rPr>
          <w:color w:val="000000" w:themeColor="text1"/>
          <w:highlight w:val="none"/>
        </w:rPr>
      </w:pPr>
      <w:bookmarkStart w:id="1327" w:name="_Toc327367761"/>
      <w:bookmarkStart w:id="1328" w:name="_Toc327368025"/>
      <w:bookmarkStart w:id="1329" w:name="_Toc9937"/>
      <w:bookmarkStart w:id="1330" w:name="_Toc366072529"/>
      <w:bookmarkStart w:id="1331" w:name="_Toc330459986"/>
      <w:bookmarkStart w:id="1332" w:name="_Toc341348339"/>
      <w:bookmarkStart w:id="1333" w:name="_Toc337632359"/>
      <w:bookmarkStart w:id="1334" w:name="_Toc333935688"/>
      <w:bookmarkStart w:id="1335" w:name="_Toc331684039"/>
      <w:bookmarkStart w:id="1336" w:name="_Toc342296761"/>
      <w:bookmarkStart w:id="1337" w:name="_Toc340677071"/>
      <w:bookmarkStart w:id="1338" w:name="_Toc336681581"/>
      <w:bookmarkStart w:id="1339" w:name="_Toc333237678"/>
      <w:bookmarkStart w:id="1340" w:name="_Toc339362301"/>
      <w:bookmarkStart w:id="1341" w:name="_Toc332206709"/>
      <w:bookmarkStart w:id="1342" w:name="_Toc331512899"/>
      <w:bookmarkStart w:id="1343" w:name="_Toc345513902"/>
      <w:bookmarkStart w:id="1344" w:name="_Toc339441088"/>
      <w:bookmarkStart w:id="1345" w:name="_Toc340672870"/>
      <w:bookmarkStart w:id="1346" w:name="_Toc339019890"/>
      <w:bookmarkStart w:id="1347" w:name="_Toc339020234"/>
      <w:bookmarkStart w:id="1348" w:name="_Toc333238634"/>
      <w:bookmarkStart w:id="1349" w:name="_Toc333935347"/>
      <w:bookmarkStart w:id="1350" w:name="_Toc340507443"/>
      <w:bookmarkStart w:id="1351" w:name="_Toc339020016"/>
      <w:bookmarkStart w:id="1352" w:name="_Toc333237789"/>
      <w:bookmarkStart w:id="1353" w:name="_Toc336681936"/>
      <w:bookmarkStart w:id="1354" w:name="_Toc342060375"/>
      <w:bookmarkStart w:id="1355" w:name="_Toc339020096"/>
      <w:bookmarkStart w:id="1356" w:name="_Toc332270347"/>
      <w:r>
        <w:rPr>
          <w:rFonts w:hint="eastAsia"/>
          <w:color w:val="000000" w:themeColor="text1"/>
          <w:highlight w:val="none"/>
        </w:rPr>
        <w:t>评标注意事项</w:t>
      </w:r>
      <w:bookmarkEnd w:id="1327"/>
      <w:bookmarkEnd w:id="1328"/>
      <w:bookmarkEnd w:id="1329"/>
      <w:bookmarkEnd w:id="1330"/>
    </w:p>
    <w:bookmarkEnd w:id="35"/>
    <w:bookmarkEnd w:id="1324"/>
    <w:bookmarkEnd w:id="1325"/>
    <w:bookmarkEnd w:id="1326"/>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bookmarkStart w:id="1357" w:name="_Toc500861027"/>
      <w:bookmarkStart w:id="1358" w:name="_Toc26066260"/>
      <w:bookmarkStart w:id="1359" w:name="_Toc491658680"/>
      <w:bookmarkStart w:id="1360" w:name="_Toc6727972"/>
      <w:bookmarkStart w:id="1361" w:name="_Toc6397151"/>
      <w:r>
        <w:rPr>
          <w:rFonts w:hint="eastAsia" w:ascii="宋体" w:hAnsi="宋体"/>
          <w:bCs/>
          <w:color w:val="000000" w:themeColor="text1"/>
          <w:highlight w:val="none"/>
        </w:rPr>
        <w:t>28.1</w:t>
      </w:r>
      <w:r>
        <w:rPr>
          <w:rFonts w:hint="eastAsia" w:ascii="宋体" w:hAnsi="宋体"/>
          <w:bCs/>
          <w:color w:val="000000" w:themeColor="text1"/>
          <w:highlight w:val="none"/>
        </w:rPr>
        <w:tab/>
      </w:r>
      <w:r>
        <w:rPr>
          <w:rFonts w:hint="eastAsia" w:ascii="宋体" w:hAnsi="宋体"/>
          <w:bCs/>
          <w:color w:val="000000" w:themeColor="text1"/>
          <w:highlight w:val="none"/>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28.2</w:t>
      </w:r>
      <w:r>
        <w:rPr>
          <w:rFonts w:hint="eastAsia" w:ascii="宋体" w:hAnsi="宋体"/>
          <w:bCs/>
          <w:color w:val="000000" w:themeColor="text1"/>
          <w:highlight w:val="none"/>
        </w:rPr>
        <w:tab/>
      </w:r>
      <w:r>
        <w:rPr>
          <w:rFonts w:hint="eastAsia" w:ascii="宋体" w:hAnsi="宋体"/>
          <w:bCs/>
          <w:color w:val="000000" w:themeColor="text1"/>
          <w:highlight w:val="none"/>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28.3</w:t>
      </w:r>
      <w:r>
        <w:rPr>
          <w:rFonts w:hint="eastAsia" w:ascii="宋体" w:hAnsi="宋体"/>
          <w:bCs/>
          <w:color w:val="000000" w:themeColor="text1"/>
          <w:highlight w:val="none"/>
        </w:rPr>
        <w:tab/>
      </w:r>
      <w:r>
        <w:rPr>
          <w:rFonts w:hint="eastAsia" w:ascii="宋体" w:hAnsi="宋体"/>
          <w:bCs/>
          <w:color w:val="000000" w:themeColor="text1"/>
          <w:highlight w:val="none"/>
        </w:rPr>
        <w:t>在招标工作结束后，评标委员会成员和参与评标的有关工作人员不得透露与评标有关的情况。</w:t>
      </w:r>
    </w:p>
    <w:p>
      <w:pPr>
        <w:pStyle w:val="6"/>
        <w:numPr>
          <w:ilvl w:val="4"/>
          <w:numId w:val="41"/>
        </w:numPr>
        <w:tabs>
          <w:tab w:val="left" w:pos="720"/>
        </w:tabs>
        <w:spacing w:before="240" w:after="120"/>
        <w:ind w:left="2432" w:hanging="2432"/>
        <w:rPr>
          <w:color w:val="000000" w:themeColor="text1"/>
          <w:highlight w:val="none"/>
        </w:rPr>
      </w:pPr>
      <w:bookmarkStart w:id="1362" w:name="_Toc341348340"/>
      <w:bookmarkStart w:id="1363" w:name="_Toc330459987"/>
      <w:bookmarkStart w:id="1364" w:name="_Toc336681937"/>
      <w:bookmarkStart w:id="1365" w:name="_Toc374454602"/>
      <w:bookmarkStart w:id="1366" w:name="_Toc349143591"/>
      <w:bookmarkStart w:id="1367" w:name="_Toc333238635"/>
      <w:bookmarkStart w:id="1368" w:name="_Toc333237790"/>
      <w:bookmarkStart w:id="1369" w:name="_Toc333935689"/>
      <w:bookmarkStart w:id="1370" w:name="_Toc339020097"/>
      <w:bookmarkStart w:id="1371" w:name="_Toc339020235"/>
      <w:bookmarkStart w:id="1372" w:name="_Toc342060376"/>
      <w:bookmarkStart w:id="1373" w:name="_Toc331512900"/>
      <w:bookmarkStart w:id="1374" w:name="_Toc350438751"/>
      <w:bookmarkStart w:id="1375" w:name="_Toc350756452"/>
      <w:bookmarkStart w:id="1376" w:name="_Toc337632360"/>
      <w:bookmarkStart w:id="1377" w:name="_Toc365967074"/>
      <w:bookmarkStart w:id="1378" w:name="_Toc342296762"/>
      <w:bookmarkStart w:id="1379" w:name="_Toc339362302"/>
      <w:bookmarkStart w:id="1380" w:name="_Toc333237679"/>
      <w:bookmarkStart w:id="1381" w:name="_Toc339019891"/>
      <w:bookmarkStart w:id="1382" w:name="_Toc23064"/>
      <w:bookmarkStart w:id="1383" w:name="_Toc339441089"/>
      <w:bookmarkStart w:id="1384" w:name="_Toc365985180"/>
      <w:bookmarkStart w:id="1385" w:name="_Toc333935348"/>
      <w:bookmarkStart w:id="1386" w:name="_Toc340507444"/>
      <w:bookmarkStart w:id="1387" w:name="_Toc340677072"/>
      <w:bookmarkStart w:id="1388" w:name="_Toc336681582"/>
      <w:bookmarkStart w:id="1389" w:name="_Toc345513903"/>
      <w:bookmarkStart w:id="1390" w:name="_Toc332206710"/>
      <w:bookmarkStart w:id="1391" w:name="_Toc340672871"/>
      <w:bookmarkStart w:id="1392" w:name="_Toc349127628"/>
      <w:bookmarkStart w:id="1393" w:name="_Toc332270348"/>
      <w:bookmarkStart w:id="1394" w:name="_Toc366072530"/>
      <w:bookmarkStart w:id="1395" w:name="_Toc331684040"/>
      <w:bookmarkStart w:id="1396" w:name="_Toc339020017"/>
      <w:r>
        <w:rPr>
          <w:rFonts w:hint="eastAsia"/>
          <w:color w:val="000000" w:themeColor="text1"/>
          <w:highlight w:val="none"/>
        </w:rPr>
        <w:t>接受和拒绝投标的权利</w:t>
      </w:r>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29.2</w:t>
      </w:r>
      <w:r>
        <w:rPr>
          <w:rFonts w:hint="eastAsia" w:ascii="宋体" w:hAnsi="宋体"/>
          <w:bCs/>
          <w:color w:val="000000" w:themeColor="text1"/>
          <w:highlight w:val="none"/>
        </w:rPr>
        <w:tab/>
      </w:r>
      <w:r>
        <w:rPr>
          <w:rFonts w:hint="eastAsia" w:ascii="宋体" w:hAnsi="宋体"/>
          <w:bCs/>
          <w:color w:val="000000" w:themeColor="text1"/>
          <w:highlight w:val="none"/>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6"/>
        <w:numPr>
          <w:ilvl w:val="4"/>
          <w:numId w:val="41"/>
        </w:numPr>
        <w:tabs>
          <w:tab w:val="left" w:pos="720"/>
        </w:tabs>
        <w:spacing w:before="240" w:after="120"/>
        <w:ind w:left="2432" w:hanging="2432"/>
        <w:rPr>
          <w:color w:val="000000" w:themeColor="text1"/>
          <w:highlight w:val="none"/>
        </w:rPr>
      </w:pPr>
      <w:bookmarkStart w:id="1397" w:name="_Toc272"/>
      <w:bookmarkStart w:id="1398" w:name="_Toc366072531"/>
      <w:bookmarkStart w:id="1399" w:name="_Toc374454603"/>
      <w:r>
        <w:rPr>
          <w:rFonts w:hint="eastAsia"/>
          <w:color w:val="000000" w:themeColor="text1"/>
          <w:highlight w:val="none"/>
        </w:rPr>
        <w:t>发布中标结果公告和发放中标通知书</w:t>
      </w:r>
      <w:bookmarkEnd w:id="1397"/>
      <w:bookmarkEnd w:id="1398"/>
      <w:bookmarkEnd w:id="1399"/>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400" w:name="_Toc366072532"/>
      <w:r>
        <w:rPr>
          <w:rFonts w:hint="eastAsia" w:ascii="宋体" w:hAnsi="宋体"/>
          <w:color w:val="000000" w:themeColor="text1"/>
          <w:szCs w:val="21"/>
          <w:highlight w:val="none"/>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30.2   中标投标人确认后，中标结果</w:t>
      </w:r>
      <w:bookmarkStart w:id="1401" w:name="_Hlk499218799"/>
      <w:r>
        <w:rPr>
          <w:rFonts w:hint="eastAsia" w:ascii="宋体" w:hAnsi="宋体"/>
          <w:color w:val="000000" w:themeColor="text1"/>
          <w:szCs w:val="21"/>
          <w:highlight w:val="none"/>
        </w:rPr>
        <w:t>将于指定媒体上公告</w:t>
      </w:r>
      <w:bookmarkEnd w:id="1401"/>
      <w:r>
        <w:rPr>
          <w:rFonts w:hint="eastAsia" w:ascii="宋体" w:hAnsi="宋体"/>
          <w:color w:val="000000" w:themeColor="text1"/>
          <w:szCs w:val="21"/>
          <w:highlight w:val="none"/>
        </w:rPr>
        <w:t>(</w:t>
      </w:r>
      <w:r>
        <w:rPr>
          <w:rFonts w:hint="eastAsia" w:ascii="黑体" w:eastAsia="黑体"/>
          <w:bCs/>
          <w:color w:val="000000" w:themeColor="text1"/>
          <w:highlight w:val="none"/>
        </w:rPr>
        <w:t>详见第三部份《投标人须知〈投标人须知前附表〉》</w:t>
      </w:r>
      <w:r>
        <w:rPr>
          <w:rFonts w:hint="eastAsia" w:ascii="宋体" w:hAnsi="宋体"/>
          <w:color w:val="000000" w:themeColor="text1"/>
          <w:highlight w:val="none"/>
        </w:rPr>
        <w:t>)</w:t>
      </w:r>
      <w:r>
        <w:rPr>
          <w:rFonts w:hint="eastAsia" w:ascii="宋体" w:hAnsi="宋体"/>
          <w:color w:val="000000" w:themeColor="text1"/>
          <w:szCs w:val="21"/>
          <w:highlight w:val="none"/>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30.4   中标通知书发出后，采购人改变中标结果，或者中标投标人放弃中标，应当承担相应的法律责任。</w:t>
      </w:r>
    </w:p>
    <w:p>
      <w:pPr>
        <w:pStyle w:val="6"/>
        <w:numPr>
          <w:ilvl w:val="4"/>
          <w:numId w:val="41"/>
        </w:numPr>
        <w:tabs>
          <w:tab w:val="left" w:pos="720"/>
        </w:tabs>
        <w:spacing w:before="240" w:after="120"/>
        <w:ind w:left="2432" w:hanging="2432"/>
        <w:rPr>
          <w:color w:val="000000" w:themeColor="text1"/>
          <w:highlight w:val="none"/>
        </w:rPr>
      </w:pPr>
      <w:bookmarkStart w:id="1402" w:name="_Toc374454604"/>
      <w:bookmarkStart w:id="1403" w:name="_Toc1076"/>
      <w:r>
        <w:rPr>
          <w:rFonts w:hint="eastAsia"/>
          <w:color w:val="000000" w:themeColor="text1"/>
          <w:highlight w:val="none"/>
        </w:rPr>
        <w:t>投标人对中标结果的质疑、投诉</w:t>
      </w:r>
      <w:bookmarkEnd w:id="1400"/>
      <w:bookmarkEnd w:id="1402"/>
      <w:bookmarkEnd w:id="1403"/>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404" w:name="_Toc342060379"/>
      <w:bookmarkStart w:id="1405" w:name="_Toc340677075"/>
      <w:bookmarkStart w:id="1406" w:name="_Toc333935351"/>
      <w:bookmarkStart w:id="1407" w:name="_Toc340507447"/>
      <w:bookmarkStart w:id="1408" w:name="_Toc365967077"/>
      <w:bookmarkStart w:id="1409" w:name="_Toc339019894"/>
      <w:bookmarkStart w:id="1410" w:name="_Toc339441092"/>
      <w:bookmarkStart w:id="1411" w:name="_Toc332206713"/>
      <w:bookmarkStart w:id="1412" w:name="_Toc350756455"/>
      <w:bookmarkStart w:id="1413" w:name="_Toc333935692"/>
      <w:bookmarkStart w:id="1414" w:name="_Toc345513906"/>
      <w:bookmarkStart w:id="1415" w:name="_Toc337632363"/>
      <w:bookmarkStart w:id="1416" w:name="_Toc336681585"/>
      <w:bookmarkStart w:id="1417" w:name="_Toc349127631"/>
      <w:bookmarkStart w:id="1418" w:name="_Toc333237682"/>
      <w:bookmarkStart w:id="1419" w:name="_Toc341348343"/>
      <w:bookmarkStart w:id="1420" w:name="_Toc339362305"/>
      <w:bookmarkStart w:id="1421" w:name="_Toc331512903"/>
      <w:bookmarkStart w:id="1422" w:name="_Toc365985183"/>
      <w:bookmarkStart w:id="1423" w:name="_Toc339020100"/>
      <w:bookmarkStart w:id="1424" w:name="_Toc336681940"/>
      <w:bookmarkStart w:id="1425" w:name="_Toc350438754"/>
      <w:bookmarkStart w:id="1426" w:name="_Toc349143594"/>
      <w:bookmarkStart w:id="1427" w:name="_Toc340672874"/>
      <w:bookmarkStart w:id="1428" w:name="_Toc332270351"/>
      <w:bookmarkStart w:id="1429" w:name="_Toc339020020"/>
      <w:bookmarkStart w:id="1430" w:name="_Toc333237793"/>
      <w:bookmarkStart w:id="1431" w:name="_Toc339020238"/>
      <w:bookmarkStart w:id="1432" w:name="_Toc333238638"/>
      <w:bookmarkStart w:id="1433" w:name="_Toc342296765"/>
      <w:bookmarkStart w:id="1434" w:name="_Toc331684043"/>
      <w:bookmarkStart w:id="1435" w:name="_Toc330459990"/>
      <w:r>
        <w:rPr>
          <w:rFonts w:hint="eastAsia" w:ascii="宋体" w:hAnsi="宋体"/>
          <w:color w:val="000000" w:themeColor="text1"/>
          <w:szCs w:val="21"/>
          <w:highlight w:val="none"/>
        </w:rPr>
        <w:t>31.1</w:t>
      </w:r>
      <w:r>
        <w:rPr>
          <w:rFonts w:hint="eastAsia" w:ascii="宋体" w:hAnsi="宋体"/>
          <w:color w:val="000000" w:themeColor="text1"/>
          <w:szCs w:val="21"/>
          <w:highlight w:val="none"/>
        </w:rPr>
        <w:tab/>
      </w:r>
      <w:r>
        <w:rPr>
          <w:rFonts w:hint="eastAsia" w:ascii="宋体" w:hAnsi="宋体"/>
          <w:color w:val="000000" w:themeColor="text1"/>
          <w:szCs w:val="21"/>
          <w:highlight w:val="none"/>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31.2   采购人或代理采购机构应当在收到投标投标人书面质疑后七个工作日内，对质疑内容作出答复。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31.6   质疑函应当署名。质疑投标人为自然人的，应当由本人签字；质疑投标人为法人或其他组织的，应由法定代表人（负责人）或者主要负责人签字并盖公章。</w:t>
      </w:r>
    </w:p>
    <w:p>
      <w:pPr>
        <w:pStyle w:val="4"/>
        <w:numPr>
          <w:ilvl w:val="0"/>
          <w:numId w:val="0"/>
        </w:numPr>
        <w:rPr>
          <w:color w:val="000000" w:themeColor="text1"/>
          <w:sz w:val="24"/>
          <w:highlight w:val="none"/>
        </w:rPr>
      </w:pPr>
      <w:bookmarkStart w:id="1436" w:name="_Toc374454605"/>
      <w:bookmarkStart w:id="1437" w:name="_Toc366072533"/>
      <w:r>
        <w:rPr>
          <w:color w:val="000000" w:themeColor="text1"/>
          <w:sz w:val="24"/>
          <w:highlight w:val="none"/>
        </w:rPr>
        <w:br w:type="page"/>
      </w:r>
      <w:bookmarkStart w:id="1438" w:name="_Toc9041"/>
      <w:r>
        <w:rPr>
          <w:rFonts w:hint="eastAsia"/>
          <w:color w:val="000000" w:themeColor="text1"/>
          <w:sz w:val="24"/>
          <w:highlight w:val="none"/>
        </w:rPr>
        <w:t>Ｆ  授予合同</w:t>
      </w:r>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p>
    <w:p>
      <w:pPr>
        <w:pStyle w:val="6"/>
        <w:numPr>
          <w:ilvl w:val="4"/>
          <w:numId w:val="41"/>
        </w:numPr>
        <w:tabs>
          <w:tab w:val="left" w:pos="720"/>
        </w:tabs>
        <w:spacing w:before="240" w:after="120"/>
        <w:ind w:left="2432" w:hanging="2432"/>
        <w:rPr>
          <w:color w:val="000000" w:themeColor="text1"/>
          <w:highlight w:val="none"/>
        </w:rPr>
      </w:pPr>
      <w:bookmarkStart w:id="1439" w:name="_Toc333237683"/>
      <w:bookmarkStart w:id="1440" w:name="_Toc365967078"/>
      <w:bookmarkStart w:id="1441" w:name="_Toc339362306"/>
      <w:bookmarkStart w:id="1442" w:name="_Toc374454606"/>
      <w:bookmarkStart w:id="1443" w:name="_Toc331684044"/>
      <w:bookmarkStart w:id="1444" w:name="_Toc333935352"/>
      <w:bookmarkStart w:id="1445" w:name="_Toc336681586"/>
      <w:bookmarkStart w:id="1446" w:name="_Toc480010727"/>
      <w:bookmarkStart w:id="1447" w:name="_Toc468606048"/>
      <w:bookmarkStart w:id="1448" w:name="_Toc333935693"/>
      <w:bookmarkStart w:id="1449" w:name="_Toc337632364"/>
      <w:bookmarkStart w:id="1450" w:name="_Toc332270352"/>
      <w:bookmarkStart w:id="1451" w:name="_Toc340672875"/>
      <w:bookmarkStart w:id="1452" w:name="_Toc365985184"/>
      <w:bookmarkStart w:id="1453" w:name="_Toc350756456"/>
      <w:bookmarkStart w:id="1454" w:name="_Toc331512904"/>
      <w:bookmarkStart w:id="1455" w:name="_Toc342296766"/>
      <w:bookmarkStart w:id="1456" w:name="_Toc480020276"/>
      <w:bookmarkStart w:id="1457" w:name="_Toc339020239"/>
      <w:bookmarkStart w:id="1458" w:name="_Toc333238639"/>
      <w:bookmarkStart w:id="1459" w:name="_Toc366072534"/>
      <w:bookmarkStart w:id="1460" w:name="_Toc345513907"/>
      <w:bookmarkStart w:id="1461" w:name="_Toc479991601"/>
      <w:bookmarkStart w:id="1462" w:name="_Toc332206714"/>
      <w:bookmarkStart w:id="1463" w:name="_Toc467987842"/>
      <w:bookmarkStart w:id="1464" w:name="_Toc339019895"/>
      <w:bookmarkStart w:id="1465" w:name="_Toc339020021"/>
      <w:bookmarkStart w:id="1466" w:name="_Toc340677076"/>
      <w:bookmarkStart w:id="1467" w:name="_Toc330459991"/>
      <w:bookmarkStart w:id="1468" w:name="_Toc340507448"/>
      <w:bookmarkStart w:id="1469" w:name="_Toc500861016"/>
      <w:bookmarkStart w:id="1470" w:name="_Toc23115"/>
      <w:bookmarkStart w:id="1471" w:name="_Toc339441093"/>
      <w:bookmarkStart w:id="1472" w:name="_Toc341348344"/>
      <w:bookmarkStart w:id="1473" w:name="_Toc342060380"/>
      <w:bookmarkStart w:id="1474" w:name="_Toc491658670"/>
      <w:bookmarkStart w:id="1475" w:name="_Toc333237794"/>
      <w:bookmarkStart w:id="1476" w:name="_Toc336681941"/>
      <w:bookmarkStart w:id="1477" w:name="_Toc349127632"/>
      <w:bookmarkStart w:id="1478" w:name="_Toc350438755"/>
      <w:bookmarkStart w:id="1479" w:name="_Toc339020101"/>
      <w:bookmarkStart w:id="1480" w:name="_Toc480021072"/>
      <w:bookmarkStart w:id="1481" w:name="_Toc467236759"/>
      <w:bookmarkStart w:id="1482" w:name="_Toc468157555"/>
      <w:bookmarkStart w:id="1483" w:name="_Toc349143595"/>
      <w:bookmarkStart w:id="1484" w:name="_Toc458262633"/>
      <w:bookmarkStart w:id="1485" w:name="_Toc454701400"/>
      <w:r>
        <w:rPr>
          <w:rFonts w:hint="eastAsia"/>
          <w:color w:val="000000" w:themeColor="text1"/>
          <w:highlight w:val="none"/>
        </w:rPr>
        <w:t>合同授予标准</w:t>
      </w:r>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p>
    <w:p>
      <w:pPr>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2</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按第30条规定，采购人将把合同授予此次招标的中标投标人。</w:t>
      </w:r>
    </w:p>
    <w:bookmarkEnd w:id="1484"/>
    <w:bookmarkEnd w:id="1485"/>
    <w:p>
      <w:pPr>
        <w:pStyle w:val="6"/>
        <w:numPr>
          <w:ilvl w:val="4"/>
          <w:numId w:val="41"/>
        </w:numPr>
        <w:tabs>
          <w:tab w:val="left" w:pos="720"/>
        </w:tabs>
        <w:spacing w:before="240" w:after="120"/>
        <w:ind w:left="2432" w:hanging="2432"/>
        <w:rPr>
          <w:color w:val="000000" w:themeColor="text1"/>
          <w:highlight w:val="none"/>
        </w:rPr>
      </w:pPr>
      <w:bookmarkStart w:id="1486" w:name="_Toc340507449"/>
      <w:bookmarkStart w:id="1487" w:name="_Toc332206715"/>
      <w:bookmarkStart w:id="1488" w:name="_Toc454701402"/>
      <w:bookmarkStart w:id="1489" w:name="_Toc374454607"/>
      <w:bookmarkStart w:id="1490" w:name="_Toc365985185"/>
      <w:bookmarkStart w:id="1491" w:name="_Toc500861020"/>
      <w:bookmarkStart w:id="1492" w:name="_Toc491658674"/>
      <w:bookmarkStart w:id="1493" w:name="_Toc345513908"/>
      <w:bookmarkStart w:id="1494" w:name="_Toc365967079"/>
      <w:bookmarkStart w:id="1495" w:name="_Toc480021076"/>
      <w:bookmarkStart w:id="1496" w:name="_Toc331512905"/>
      <w:bookmarkStart w:id="1497" w:name="_Toc467987846"/>
      <w:bookmarkStart w:id="1498" w:name="_Toc333237795"/>
      <w:bookmarkStart w:id="1499" w:name="_Toc468157559"/>
      <w:bookmarkStart w:id="1500" w:name="_Toc342296767"/>
      <w:bookmarkStart w:id="1501" w:name="_Toc340677077"/>
      <w:bookmarkStart w:id="1502" w:name="_Toc480020280"/>
      <w:bookmarkStart w:id="1503" w:name="_Toc479991605"/>
      <w:bookmarkStart w:id="1504" w:name="_Toc468606052"/>
      <w:bookmarkStart w:id="1505" w:name="_Toc337632365"/>
      <w:bookmarkStart w:id="1506" w:name="_Toc350438756"/>
      <w:bookmarkStart w:id="1507" w:name="_Toc458262635"/>
      <w:bookmarkStart w:id="1508" w:name="_Toc366072535"/>
      <w:bookmarkStart w:id="1509" w:name="_Toc339019896"/>
      <w:bookmarkStart w:id="1510" w:name="_Toc349127633"/>
      <w:bookmarkStart w:id="1511" w:name="_Toc3740"/>
      <w:bookmarkStart w:id="1512" w:name="_Toc336681587"/>
      <w:bookmarkStart w:id="1513" w:name="_Toc339362307"/>
      <w:bookmarkStart w:id="1514" w:name="_Toc341348345"/>
      <w:bookmarkStart w:id="1515" w:name="_Toc340672876"/>
      <w:bookmarkStart w:id="1516" w:name="_Toc339020022"/>
      <w:bookmarkStart w:id="1517" w:name="_Toc467236763"/>
      <w:bookmarkStart w:id="1518" w:name="_Toc333935694"/>
      <w:bookmarkStart w:id="1519" w:name="_Toc330459992"/>
      <w:bookmarkStart w:id="1520" w:name="_Toc332270353"/>
      <w:bookmarkStart w:id="1521" w:name="_Toc331684045"/>
      <w:bookmarkStart w:id="1522" w:name="_Toc339441094"/>
      <w:bookmarkStart w:id="1523" w:name="_Toc339020240"/>
      <w:bookmarkStart w:id="1524" w:name="_Toc480010731"/>
      <w:bookmarkStart w:id="1525" w:name="_Toc349143596"/>
      <w:bookmarkStart w:id="1526" w:name="_Toc350756457"/>
      <w:bookmarkStart w:id="1527" w:name="_Toc333237684"/>
      <w:bookmarkStart w:id="1528" w:name="_Toc339020102"/>
      <w:bookmarkStart w:id="1529" w:name="_Toc342060381"/>
      <w:bookmarkStart w:id="1530" w:name="_Toc336681942"/>
      <w:bookmarkStart w:id="1531" w:name="_Toc333238640"/>
      <w:bookmarkStart w:id="1532" w:name="_Toc333935353"/>
      <w:r>
        <w:rPr>
          <w:rFonts w:hint="eastAsia"/>
          <w:color w:val="000000" w:themeColor="text1"/>
          <w:highlight w:val="none"/>
        </w:rPr>
        <w:t>签订合同</w:t>
      </w:r>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p>
    <w:p>
      <w:pPr>
        <w:widowControl/>
        <w:tabs>
          <w:tab w:val="left" w:pos="753"/>
        </w:tabs>
        <w:adjustRightInd w:val="0"/>
        <w:snapToGrid w:val="0"/>
        <w:spacing w:line="360" w:lineRule="auto"/>
        <w:ind w:left="753" w:hanging="753"/>
        <w:rPr>
          <w:rFonts w:ascii="宋体" w:hAnsi="宋体"/>
          <w:bCs/>
          <w:color w:val="000000" w:themeColor="text1"/>
          <w:highlight w:val="none"/>
        </w:rPr>
      </w:pPr>
      <w:bookmarkStart w:id="1533" w:name="_Toc383069738"/>
      <w:bookmarkStart w:id="1534" w:name="_Toc373401413"/>
      <w:bookmarkStart w:id="1535" w:name="_Toc370309169"/>
      <w:bookmarkStart w:id="1536" w:name="_Toc378261823"/>
      <w:bookmarkStart w:id="1537" w:name="_Toc374454608"/>
      <w:bookmarkStart w:id="1538" w:name="_Toc379896705"/>
      <w:bookmarkStart w:id="1539" w:name="_Toc367095382"/>
      <w:bookmarkStart w:id="1540" w:name="_Toc366072536"/>
      <w:bookmarkStart w:id="1541" w:name="_Toc374093632"/>
      <w:bookmarkStart w:id="1542" w:name="_Toc377129068"/>
      <w:bookmarkStart w:id="1543" w:name="_Toc366681897"/>
      <w:bookmarkStart w:id="1544" w:name="_Toc370983962"/>
      <w:bookmarkStart w:id="1545" w:name="_Toc372209289"/>
      <w:bookmarkStart w:id="1546" w:name="_Toc369700990"/>
      <w:bookmarkStart w:id="1547" w:name="_Toc336681588"/>
      <w:bookmarkStart w:id="1548" w:name="_Toc339019897"/>
      <w:bookmarkStart w:id="1549" w:name="_Toc333238641"/>
      <w:bookmarkStart w:id="1550" w:name="_Toc332206716"/>
      <w:bookmarkStart w:id="1551" w:name="_Toc365967080"/>
      <w:bookmarkStart w:id="1552" w:name="_Toc339020103"/>
      <w:bookmarkStart w:id="1553" w:name="_Toc331684046"/>
      <w:bookmarkStart w:id="1554" w:name="_Toc340677078"/>
      <w:bookmarkStart w:id="1555" w:name="_Toc339020023"/>
      <w:bookmarkStart w:id="1556" w:name="_Toc336681943"/>
      <w:bookmarkStart w:id="1557" w:name="_Toc340507450"/>
      <w:bookmarkStart w:id="1558" w:name="_Toc345513909"/>
      <w:bookmarkStart w:id="1559" w:name="_Toc341348346"/>
      <w:bookmarkStart w:id="1560" w:name="_Toc342060382"/>
      <w:bookmarkStart w:id="1561" w:name="_Toc342296768"/>
      <w:bookmarkStart w:id="1562" w:name="_Toc340672877"/>
      <w:bookmarkStart w:id="1563" w:name="_Toc349127634"/>
      <w:bookmarkStart w:id="1564" w:name="_Toc337632366"/>
      <w:bookmarkStart w:id="1565" w:name="_Toc365985186"/>
      <w:bookmarkStart w:id="1566" w:name="_Toc333237685"/>
      <w:bookmarkStart w:id="1567" w:name="_Toc339020241"/>
      <w:bookmarkStart w:id="1568" w:name="_Toc333935354"/>
      <w:bookmarkStart w:id="1569" w:name="_Toc350438757"/>
      <w:bookmarkStart w:id="1570" w:name="_Toc332270354"/>
      <w:bookmarkStart w:id="1571" w:name="_Toc330459993"/>
      <w:bookmarkStart w:id="1572" w:name="_Toc339441095"/>
      <w:bookmarkStart w:id="1573" w:name="_Toc333935695"/>
      <w:bookmarkStart w:id="1574" w:name="_Toc349143597"/>
      <w:bookmarkStart w:id="1575" w:name="_Toc331512906"/>
      <w:bookmarkStart w:id="1576" w:name="_Toc350756458"/>
      <w:bookmarkStart w:id="1577" w:name="_Toc333237796"/>
      <w:bookmarkStart w:id="1578" w:name="_Toc339362308"/>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.2</w:t>
      </w:r>
      <w:r>
        <w:rPr>
          <w:rFonts w:hint="eastAsia" w:ascii="宋体" w:hAnsi="宋体"/>
          <w:bCs/>
          <w:color w:val="000000" w:themeColor="text1"/>
          <w:highlight w:val="none"/>
        </w:rPr>
        <w:tab/>
      </w:r>
      <w:r>
        <w:rPr>
          <w:rFonts w:hint="eastAsia" w:ascii="宋体" w:hAnsi="宋体"/>
          <w:bCs/>
          <w:color w:val="000000" w:themeColor="text1"/>
          <w:highlight w:val="none"/>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hint="eastAsia" w:ascii="宋体" w:hAnsi="宋体" w:cs="Arial"/>
          <w:color w:val="000000" w:themeColor="text1"/>
          <w:szCs w:val="21"/>
          <w:highlight w:val="none"/>
        </w:rPr>
        <w:t xml:space="preserve">33.3   </w:t>
      </w:r>
      <w:r>
        <w:rPr>
          <w:rFonts w:ascii="宋体" w:hAnsi="宋体"/>
          <w:bCs/>
          <w:color w:val="000000" w:themeColor="text1"/>
          <w:highlight w:val="none"/>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rPr>
        <w:t>。</w:t>
      </w: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p>
      <w:pPr>
        <w:pStyle w:val="4"/>
        <w:numPr>
          <w:ilvl w:val="0"/>
          <w:numId w:val="0"/>
        </w:numPr>
        <w:rPr>
          <w:color w:val="000000" w:themeColor="text1"/>
          <w:sz w:val="24"/>
          <w:highlight w:val="none"/>
        </w:rPr>
      </w:pPr>
      <w:bookmarkStart w:id="1579" w:name="_Toc430771059"/>
      <w:bookmarkStart w:id="1580" w:name="_Toc25433"/>
      <w:bookmarkStart w:id="1581" w:name="_Toc432682726"/>
      <w:bookmarkStart w:id="1582" w:name="_Toc480010734"/>
      <w:bookmarkStart w:id="1583" w:name="_Toc500861024"/>
      <w:bookmarkStart w:id="1584" w:name="_Toc479991608"/>
      <w:bookmarkStart w:id="1585" w:name="_Toc468157562"/>
      <w:bookmarkStart w:id="1586" w:name="_Toc480021079"/>
      <w:bookmarkStart w:id="1587" w:name="_Toc467236766"/>
      <w:bookmarkStart w:id="1588" w:name="_Toc468606055"/>
      <w:bookmarkStart w:id="1589" w:name="_Toc491658677"/>
      <w:bookmarkStart w:id="1590" w:name="_Toc480020283"/>
      <w:bookmarkStart w:id="1591" w:name="_Toc467987849"/>
      <w:r>
        <w:rPr>
          <w:color w:val="000000" w:themeColor="text1"/>
          <w:sz w:val="24"/>
          <w:highlight w:val="none"/>
        </w:rPr>
        <w:t>G</w:t>
      </w:r>
      <w:r>
        <w:rPr>
          <w:rFonts w:hint="eastAsia"/>
          <w:color w:val="000000" w:themeColor="text1"/>
          <w:sz w:val="24"/>
          <w:highlight w:val="none"/>
        </w:rPr>
        <w:t>、政府采购政策</w:t>
      </w:r>
      <w:bookmarkEnd w:id="1579"/>
      <w:bookmarkEnd w:id="1580"/>
      <w:bookmarkEnd w:id="1581"/>
    </w:p>
    <w:p>
      <w:pPr>
        <w:spacing w:line="360" w:lineRule="auto"/>
        <w:ind w:left="735" w:hanging="735" w:hangingChars="350"/>
        <w:rPr>
          <w:rFonts w:hint="eastAsia" w:ascii="宋体" w:hAnsi="宋体" w:eastAsia="宋体" w:cs="宋体"/>
          <w:color w:val="000000" w:themeColor="text1"/>
          <w:highlight w:val="none"/>
        </w:rPr>
      </w:pPr>
      <w:bookmarkStart w:id="1592" w:name="_Toc430771060"/>
      <w:bookmarkStart w:id="1593" w:name="_Toc430185803"/>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4</w:t>
      </w:r>
      <w:r>
        <w:rPr>
          <w:rFonts w:hint="eastAsia" w:ascii="宋体" w:hAnsi="宋体" w:eastAsia="宋体" w:cs="宋体"/>
          <w:color w:val="000000" w:themeColor="text1"/>
          <w:highlight w:val="none"/>
        </w:rPr>
        <w:t xml:space="preserve">     </w:t>
      </w:r>
      <w:bookmarkStart w:id="1594" w:name="_Hlk499217741"/>
      <w:r>
        <w:rPr>
          <w:rFonts w:hint="eastAsia" w:ascii="宋体" w:hAnsi="宋体" w:eastAsia="宋体" w:cs="宋体"/>
          <w:color w:val="000000" w:themeColor="text1"/>
          <w:highlight w:val="none"/>
        </w:rPr>
        <w:t>若没有明示采购进口产品的，则视为采购产品为非进口产品（进口产品指中国海关验放进入中国境内且产自关境外的产品）。</w:t>
      </w:r>
      <w:bookmarkEnd w:id="1592"/>
      <w:bookmarkEnd w:id="1593"/>
      <w:bookmarkEnd w:id="1594"/>
    </w:p>
    <w:p>
      <w:pPr>
        <w:spacing w:line="360" w:lineRule="auto"/>
        <w:ind w:left="735" w:hanging="735" w:hangingChars="350"/>
        <w:rPr>
          <w:rFonts w:hint="eastAsia" w:ascii="宋体" w:hAnsi="宋体" w:eastAsia="宋体" w:cs="宋体"/>
          <w:color w:val="000000" w:themeColor="text1"/>
          <w:highlight w:val="none"/>
        </w:rPr>
      </w:pPr>
      <w:bookmarkStart w:id="1595" w:name="_Toc430185804"/>
      <w:bookmarkStart w:id="1596" w:name="_Toc430771061"/>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5</w:t>
      </w:r>
      <w:r>
        <w:rPr>
          <w:rFonts w:hint="eastAsia" w:ascii="宋体" w:hAnsi="宋体" w:eastAsia="宋体" w:cs="宋体"/>
          <w:color w:val="000000" w:themeColor="text1"/>
          <w:highlight w:val="none"/>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95"/>
      <w:bookmarkEnd w:id="1596"/>
    </w:p>
    <w:p>
      <w:pPr>
        <w:spacing w:line="360" w:lineRule="auto"/>
        <w:ind w:left="735" w:hanging="735" w:hangingChars="350"/>
        <w:rPr>
          <w:rFonts w:hint="eastAsia" w:ascii="宋体" w:hAnsi="宋体" w:eastAsia="宋体" w:cs="宋体"/>
          <w:color w:val="000000" w:themeColor="text1"/>
          <w:highlight w:val="none"/>
        </w:rPr>
      </w:pPr>
      <w:bookmarkStart w:id="1597" w:name="_Toc430185805"/>
      <w:bookmarkStart w:id="1598" w:name="_Toc430771062"/>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6</w:t>
      </w:r>
      <w:r>
        <w:rPr>
          <w:rFonts w:hint="eastAsia" w:ascii="宋体" w:hAnsi="宋体" w:eastAsia="宋体" w:cs="宋体"/>
          <w:color w:val="000000" w:themeColor="text1"/>
          <w:highlight w:val="none"/>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http://www.ccgp.gov.cn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/）、国家环境保护总局网（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http://www.sepa.gov.cn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/）、中国绿色采购网（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"http://www.cgpn.cn"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http://www.cgpn.cn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/）上发布。</w:t>
      </w:r>
      <w:bookmarkEnd w:id="1597"/>
      <w:bookmarkEnd w:id="1598"/>
    </w:p>
    <w:p>
      <w:pPr>
        <w:spacing w:line="360" w:lineRule="auto"/>
        <w:ind w:left="735" w:hanging="735" w:hangingChars="350"/>
        <w:rPr>
          <w:rFonts w:hint="eastAsia" w:ascii="宋体" w:hAnsi="宋体" w:eastAsia="宋体" w:cs="宋体"/>
          <w:color w:val="000000" w:themeColor="text1"/>
          <w:highlight w:val="none"/>
        </w:rPr>
      </w:pPr>
      <w:bookmarkStart w:id="1599" w:name="_Toc430185806"/>
      <w:bookmarkStart w:id="1600" w:name="_Toc430771063"/>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7</w:t>
      </w:r>
      <w:r>
        <w:rPr>
          <w:rFonts w:hint="eastAsia" w:ascii="宋体" w:hAnsi="宋体" w:eastAsia="宋体" w:cs="宋体"/>
          <w:color w:val="000000" w:themeColor="text1"/>
          <w:highlight w:val="none"/>
        </w:rPr>
        <w:t xml:space="preserve">     根据《关于印发《政府采购促进中小企业发展管理方法》的通知》（财库[2020]46号）的规定，投标人投标时需注意：</w:t>
      </w:r>
      <w:bookmarkEnd w:id="1599"/>
      <w:bookmarkEnd w:id="1600"/>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rPr>
      </w:pPr>
      <w:r>
        <w:rPr>
          <w:rFonts w:hint="eastAsia" w:ascii="宋体" w:hAnsi="宋体" w:eastAsia="宋体" w:cs="宋体"/>
          <w:bCs/>
          <w:color w:val="000000" w:themeColor="text1"/>
          <w:highlight w:val="none"/>
          <w:lang w:val="en-US" w:eastAsia="zh-CN"/>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kern w:val="2"/>
          <w:sz w:val="21"/>
          <w:szCs w:val="24"/>
          <w:highlight w:val="none"/>
          <w:lang w:val="en-US" w:eastAsia="zh-CN" w:bidi="ar-SA"/>
        </w:rPr>
        <w:t>3</w:t>
      </w:r>
      <w:r>
        <w:rPr>
          <w:rFonts w:hint="eastAsia" w:ascii="宋体" w:hAnsi="宋体" w:cs="宋体"/>
          <w:bCs/>
          <w:color w:val="000000" w:themeColor="text1"/>
          <w:kern w:val="2"/>
          <w:sz w:val="21"/>
          <w:szCs w:val="24"/>
          <w:highlight w:val="none"/>
          <w:lang w:val="en-US" w:eastAsia="zh-CN" w:bidi="ar-SA"/>
        </w:rPr>
        <w:t>7</w:t>
      </w:r>
      <w:r>
        <w:rPr>
          <w:rFonts w:hint="eastAsia" w:ascii="宋体" w:hAnsi="宋体" w:eastAsia="宋体" w:cs="宋体"/>
          <w:bCs/>
          <w:color w:val="000000" w:themeColor="text1"/>
          <w:kern w:val="2"/>
          <w:sz w:val="21"/>
          <w:szCs w:val="24"/>
          <w:highlight w:val="none"/>
          <w:lang w:val="en-US" w:eastAsia="zh-CN" w:bidi="ar-SA"/>
        </w:rPr>
        <w:t>.</w:t>
      </w:r>
      <w:r>
        <w:rPr>
          <w:rFonts w:hint="eastAsia" w:ascii="宋体" w:hAnsi="宋体" w:cs="宋体"/>
          <w:bCs/>
          <w:color w:val="000000" w:themeColor="text1"/>
          <w:kern w:val="2"/>
          <w:sz w:val="21"/>
          <w:szCs w:val="24"/>
          <w:highlight w:val="none"/>
          <w:lang w:val="en-US" w:eastAsia="zh-CN" w:bidi="ar-SA"/>
        </w:rPr>
        <w:t>5</w:t>
      </w:r>
      <w:r>
        <w:rPr>
          <w:rFonts w:hint="eastAsia" w:ascii="宋体" w:hAnsi="宋体" w:eastAsia="宋体" w:cs="宋体"/>
          <w:bCs/>
          <w:color w:val="000000" w:themeColor="text1"/>
          <w:kern w:val="2"/>
          <w:sz w:val="21"/>
          <w:szCs w:val="24"/>
          <w:highlight w:val="none"/>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rPr>
      </w:pPr>
    </w:p>
    <w:tbl>
      <w:tblPr>
        <w:tblStyle w:val="47"/>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评标价=总投标报价-小型和微型企业产品的价格×</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r>
              <w:rPr>
                <w:rFonts w:hint="eastAsia" w:ascii="宋体" w:hAnsi="宋体" w:eastAsia="宋体" w:cs="宋体"/>
                <w:color w:val="000000" w:themeColor="text1"/>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对联合体总金额扣除</w:t>
            </w:r>
            <w:r>
              <w:rPr>
                <w:rFonts w:hint="eastAsia" w:ascii="宋体" w:hAnsi="宋体" w:cs="宋体"/>
                <w:color w:val="000000" w:themeColor="text1"/>
                <w:szCs w:val="21"/>
                <w:highlight w:val="none"/>
                <w:u w:val="single"/>
                <w:lang w:val="en-US" w:eastAsia="zh-CN"/>
              </w:rPr>
              <w:t>4</w:t>
            </w:r>
            <w:r>
              <w:rPr>
                <w:rFonts w:hint="eastAsia" w:ascii="宋体" w:hAnsi="宋体" w:eastAsia="宋体" w:cs="宋体"/>
                <w:color w:val="000000" w:themeColor="text1"/>
                <w:szCs w:val="21"/>
                <w:highlight w:val="none"/>
                <w:u w:val="single"/>
              </w:rPr>
              <w:t>%</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w:t>
            </w:r>
            <w:r>
              <w:rPr>
                <w:rFonts w:hint="eastAsia" w:ascii="宋体" w:hAnsi="宋体" w:eastAsia="宋体" w:cs="宋体"/>
                <w:color w:val="000000" w:themeColor="text1"/>
                <w:szCs w:val="21"/>
                <w:highlight w:val="none"/>
                <w:u w:val="single"/>
              </w:rPr>
              <w:t>1-</w:t>
            </w:r>
            <w:r>
              <w:rPr>
                <w:rFonts w:hint="eastAsia" w:ascii="宋体" w:hAnsi="宋体" w:cs="宋体"/>
                <w:color w:val="000000" w:themeColor="text1"/>
                <w:szCs w:val="21"/>
                <w:highlight w:val="none"/>
                <w:u w:val="single"/>
                <w:lang w:val="en-US" w:eastAsia="zh-CN"/>
              </w:rPr>
              <w:t>4</w:t>
            </w:r>
            <w:r>
              <w:rPr>
                <w:rFonts w:hint="eastAsia" w:ascii="宋体" w:hAnsi="宋体" w:eastAsia="宋体" w:cs="宋体"/>
                <w:color w:val="000000" w:themeColor="text1"/>
                <w:szCs w:val="21"/>
                <w:highlight w:val="none"/>
                <w:u w:val="single"/>
              </w:rPr>
              <w:t>%</w:t>
            </w:r>
            <w:r>
              <w:rPr>
                <w:rFonts w:hint="eastAsia" w:ascii="宋体" w:hAnsi="宋体" w:eastAsia="宋体" w:cs="宋体"/>
                <w:color w:val="000000" w:themeColor="text1"/>
                <w:szCs w:val="21"/>
                <w:highlight w:val="none"/>
              </w:rPr>
              <w:t>）</w:t>
            </w:r>
          </w:p>
        </w:tc>
      </w:tr>
    </w:tbl>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pStyle w:val="4"/>
        <w:numPr>
          <w:ilvl w:val="0"/>
          <w:numId w:val="0"/>
        </w:numPr>
        <w:rPr>
          <w:color w:val="000000" w:themeColor="text1"/>
          <w:sz w:val="24"/>
          <w:highlight w:val="none"/>
        </w:rPr>
      </w:pPr>
      <w:bookmarkStart w:id="1601" w:name="_Toc22471"/>
      <w:r>
        <w:rPr>
          <w:rFonts w:hint="eastAsia"/>
          <w:color w:val="000000" w:themeColor="text1"/>
          <w:sz w:val="24"/>
          <w:highlight w:val="none"/>
        </w:rPr>
        <w:t>H、评标细则</w:t>
      </w:r>
      <w:bookmarkEnd w:id="1601"/>
    </w:p>
    <w:p>
      <w:pPr>
        <w:pStyle w:val="24"/>
        <w:widowControl/>
        <w:tabs>
          <w:tab w:val="left" w:pos="753"/>
        </w:tabs>
        <w:adjustRightInd w:val="0"/>
        <w:snapToGrid w:val="0"/>
        <w:spacing w:line="360" w:lineRule="auto"/>
        <w:ind w:left="752" w:hanging="751" w:hangingChars="358"/>
        <w:rPr>
          <w:rFonts w:hAnsi="宋体"/>
          <w:bCs/>
          <w:color w:val="000000" w:themeColor="text1"/>
          <w:highlight w:val="none"/>
        </w:rPr>
      </w:pPr>
      <w:r>
        <w:rPr>
          <w:rFonts w:hint="eastAsia" w:hAnsi="宋体"/>
          <w:bCs/>
          <w:color w:val="000000" w:themeColor="text1"/>
          <w:highlight w:val="none"/>
        </w:rPr>
        <w:t>采用计分法（综合评价法）来确定各投标人的排名。其操作程序为：</w:t>
      </w:r>
    </w:p>
    <w:p>
      <w:pPr>
        <w:pStyle w:val="27"/>
        <w:widowControl/>
        <w:numPr>
          <w:ilvl w:val="0"/>
          <w:numId w:val="46"/>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根据招标文件和评标原则，按下表（评价指标和权重表）所列评价指标和各评价指标的权重进行评标。</w:t>
      </w:r>
    </w:p>
    <w:p>
      <w:pPr>
        <w:pStyle w:val="27"/>
        <w:widowControl/>
        <w:numPr>
          <w:ilvl w:val="0"/>
          <w:numId w:val="46"/>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color w:val="000000" w:themeColor="text1"/>
          <w:sz w:val="21"/>
          <w:highlight w:val="none"/>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rPr>
        <w:t>经济价格标得分＝(评标基准价/投标报价)×价格指标权重×100。</w:t>
      </w:r>
    </w:p>
    <w:p>
      <w:pPr>
        <w:pStyle w:val="27"/>
        <w:widowControl/>
        <w:numPr>
          <w:ilvl w:val="0"/>
          <w:numId w:val="46"/>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由评委独立地根据各项指标的评价标准，结合每个投标人的实际情况，分别就投标报价以外的各项指标对每个投标人独立打分。</w:t>
      </w:r>
    </w:p>
    <w:p>
      <w:pPr>
        <w:pStyle w:val="27"/>
        <w:widowControl/>
        <w:numPr>
          <w:ilvl w:val="0"/>
          <w:numId w:val="46"/>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技术部分和商务部分得分结果为全部评委评价指标评分的算术平均值。</w:t>
      </w:r>
    </w:p>
    <w:p>
      <w:pPr>
        <w:pStyle w:val="27"/>
        <w:widowControl/>
        <w:numPr>
          <w:ilvl w:val="0"/>
          <w:numId w:val="46"/>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将所有评价指标所得实际评价分数相加，即为该投标人的综合得分。</w:t>
      </w:r>
    </w:p>
    <w:p>
      <w:pPr>
        <w:pStyle w:val="27"/>
        <w:widowControl/>
        <w:numPr>
          <w:ilvl w:val="0"/>
          <w:numId w:val="46"/>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评标委员会将推荐综合得分最高的投标人为该项目的中标候选人。</w:t>
      </w:r>
    </w:p>
    <w:p>
      <w:pPr>
        <w:rPr>
          <w:color w:val="000000" w:themeColor="text1"/>
          <w:highlight w:val="none"/>
        </w:rPr>
      </w:pPr>
      <w:r>
        <w:rPr>
          <w:rFonts w:hint="eastAsia"/>
          <w:color w:val="000000" w:themeColor="text1"/>
          <w:highlight w:val="none"/>
        </w:rPr>
        <w:t>评价指标及权重：</w:t>
      </w:r>
    </w:p>
    <w:p>
      <w:pPr>
        <w:rPr>
          <w:color w:val="000000" w:themeColor="text1"/>
          <w:highlight w:val="none"/>
        </w:rPr>
      </w:pPr>
    </w:p>
    <w:tbl>
      <w:tblPr>
        <w:tblStyle w:val="47"/>
        <w:tblW w:w="8645" w:type="dxa"/>
        <w:jc w:val="center"/>
        <w:tblLayout w:type="fixed"/>
        <w:tblCellMar>
          <w:top w:w="0" w:type="dxa"/>
          <w:left w:w="0" w:type="dxa"/>
          <w:bottom w:w="0" w:type="dxa"/>
          <w:right w:w="0" w:type="dxa"/>
        </w:tblCellMar>
      </w:tblPr>
      <w:tblGrid>
        <w:gridCol w:w="2294"/>
        <w:gridCol w:w="2648"/>
        <w:gridCol w:w="1751"/>
        <w:gridCol w:w="1952"/>
      </w:tblGrid>
      <w:tr>
        <w:tblPrEx>
          <w:tblCellMar>
            <w:top w:w="0" w:type="dxa"/>
            <w:left w:w="0" w:type="dxa"/>
            <w:bottom w:w="0" w:type="dxa"/>
            <w:right w:w="0" w:type="dxa"/>
          </w:tblCellMar>
        </w:tblPrEx>
        <w:trPr>
          <w:trHeight w:val="400" w:hRule="atLeast"/>
          <w:jc w:val="center"/>
        </w:trPr>
        <w:tc>
          <w:tcPr>
            <w:tcW w:w="229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评分项目</w:t>
            </w:r>
          </w:p>
        </w:tc>
        <w:tc>
          <w:tcPr>
            <w:tcW w:w="264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技术评分</w:t>
            </w:r>
          </w:p>
        </w:tc>
        <w:tc>
          <w:tcPr>
            <w:tcW w:w="17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商务评分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价格评分</w:t>
            </w:r>
          </w:p>
        </w:tc>
      </w:tr>
      <w:tr>
        <w:tblPrEx>
          <w:tblCellMar>
            <w:top w:w="0" w:type="dxa"/>
            <w:left w:w="0" w:type="dxa"/>
            <w:bottom w:w="0" w:type="dxa"/>
            <w:right w:w="0" w:type="dxa"/>
          </w:tblCellMar>
        </w:tblPrEx>
        <w:trPr>
          <w:trHeight w:val="400" w:hRule="atLeast"/>
          <w:jc w:val="center"/>
        </w:trPr>
        <w:tc>
          <w:tcPr>
            <w:tcW w:w="229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分值</w:t>
            </w:r>
          </w:p>
        </w:tc>
        <w:tc>
          <w:tcPr>
            <w:tcW w:w="264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54</w:t>
            </w:r>
            <w:r>
              <w:rPr>
                <w:rFonts w:hint="eastAsia" w:ascii="宋体" w:hAnsi="宋体" w:eastAsia="宋体" w:cs="宋体"/>
                <w:color w:val="000000" w:themeColor="text1"/>
                <w:kern w:val="0"/>
                <w:sz w:val="21"/>
                <w:szCs w:val="21"/>
                <w:highlight w:val="none"/>
              </w:rPr>
              <w:t>分</w:t>
            </w:r>
          </w:p>
        </w:tc>
        <w:tc>
          <w:tcPr>
            <w:tcW w:w="17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16</w:t>
            </w:r>
            <w:r>
              <w:rPr>
                <w:rFonts w:hint="eastAsia" w:ascii="宋体" w:hAnsi="宋体" w:eastAsia="宋体" w:cs="宋体"/>
                <w:color w:val="000000" w:themeColor="text1"/>
                <w:kern w:val="0"/>
                <w:sz w:val="21"/>
                <w:szCs w:val="21"/>
                <w:highlight w:val="none"/>
              </w:rPr>
              <w:t>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30分</w:t>
            </w:r>
          </w:p>
        </w:tc>
      </w:tr>
    </w:tbl>
    <w:p>
      <w:pPr>
        <w:rPr>
          <w:color w:val="000000" w:themeColor="text1"/>
          <w:highlight w:val="none"/>
        </w:rPr>
      </w:pPr>
    </w:p>
    <w:p>
      <w:pPr>
        <w:rPr>
          <w:color w:val="000000" w:themeColor="text1"/>
          <w:highlight w:val="none"/>
        </w:rPr>
      </w:pPr>
      <w:r>
        <w:rPr>
          <w:rFonts w:hint="eastAsia"/>
          <w:color w:val="000000" w:themeColor="text1"/>
          <w:highlight w:val="none"/>
        </w:rPr>
        <w:t>技术评分细则：</w:t>
      </w:r>
    </w:p>
    <w:tbl>
      <w:tblPr>
        <w:tblStyle w:val="47"/>
        <w:tblW w:w="9550" w:type="dxa"/>
        <w:jc w:val="center"/>
        <w:shd w:val="clear" w:color="auto" w:fill="FFFFFF"/>
        <w:tblLayout w:type="fixed"/>
        <w:tblCellMar>
          <w:top w:w="0" w:type="dxa"/>
          <w:left w:w="0" w:type="dxa"/>
          <w:bottom w:w="0" w:type="dxa"/>
          <w:right w:w="0" w:type="dxa"/>
        </w:tblCellMar>
      </w:tblPr>
      <w:tblGrid>
        <w:gridCol w:w="665"/>
        <w:gridCol w:w="1937"/>
        <w:gridCol w:w="875"/>
        <w:gridCol w:w="6073"/>
      </w:tblGrid>
      <w:tr>
        <w:tblPrEx>
          <w:shd w:val="clear" w:color="auto" w:fill="FFFFFF"/>
          <w:tblCellMar>
            <w:top w:w="0" w:type="dxa"/>
            <w:left w:w="0" w:type="dxa"/>
            <w:bottom w:w="0" w:type="dxa"/>
            <w:right w:w="0" w:type="dxa"/>
          </w:tblCellMar>
        </w:tblPrEx>
        <w:trPr>
          <w:cantSplit/>
          <w:trHeight w:val="460" w:hRule="atLeast"/>
          <w:tblHeader/>
          <w:jc w:val="center"/>
        </w:trPr>
        <w:tc>
          <w:tcPr>
            <w:tcW w:w="66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bidi w:val="0"/>
              <w:spacing w:line="300" w:lineRule="exact"/>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序号</w:t>
            </w:r>
          </w:p>
        </w:tc>
        <w:tc>
          <w:tcPr>
            <w:tcW w:w="193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bidi w:val="0"/>
              <w:spacing w:line="300" w:lineRule="exact"/>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评审内容</w:t>
            </w:r>
          </w:p>
        </w:tc>
        <w:tc>
          <w:tcPr>
            <w:tcW w:w="87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bidi w:val="0"/>
              <w:spacing w:line="300" w:lineRule="exact"/>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分值</w:t>
            </w:r>
          </w:p>
        </w:tc>
        <w:tc>
          <w:tcPr>
            <w:tcW w:w="607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bidi w:val="0"/>
              <w:spacing w:line="300" w:lineRule="exact"/>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评审标准</w:t>
            </w:r>
          </w:p>
        </w:tc>
      </w:tr>
      <w:tr>
        <w:tblPrEx>
          <w:shd w:val="clear" w:color="auto" w:fill="FFFFFF"/>
          <w:tblCellMar>
            <w:top w:w="0" w:type="dxa"/>
            <w:left w:w="0" w:type="dxa"/>
            <w:bottom w:w="0" w:type="dxa"/>
            <w:right w:w="0" w:type="dxa"/>
          </w:tblCellMar>
        </w:tblPrEx>
        <w:trPr>
          <w:cantSplit/>
          <w:trHeight w:val="1237" w:hRule="atLeast"/>
          <w:jc w:val="center"/>
        </w:trPr>
        <w:tc>
          <w:tcPr>
            <w:tcW w:w="66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bidi w:val="0"/>
              <w:spacing w:line="300" w:lineRule="exact"/>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p>
        </w:tc>
        <w:tc>
          <w:tcPr>
            <w:tcW w:w="193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bidi w:val="0"/>
              <w:spacing w:line="300" w:lineRule="exact"/>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设备的质量及技术性能</w:t>
            </w:r>
          </w:p>
        </w:tc>
        <w:tc>
          <w:tcPr>
            <w:tcW w:w="87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bidi w:val="0"/>
              <w:spacing w:line="300" w:lineRule="exact"/>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40分</w:t>
            </w:r>
          </w:p>
        </w:tc>
        <w:tc>
          <w:tcPr>
            <w:tcW w:w="607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bidi w:val="0"/>
              <w:spacing w:line="300" w:lineRule="exact"/>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根据各</w:t>
            </w:r>
            <w:r>
              <w:rPr>
                <w:rFonts w:hint="eastAsia" w:ascii="宋体" w:hAnsi="宋体" w:eastAsia="宋体" w:cs="宋体"/>
                <w:color w:val="000000" w:themeColor="text1"/>
                <w:sz w:val="21"/>
                <w:szCs w:val="21"/>
                <w:highlight w:val="none"/>
                <w:lang w:val="en-US" w:eastAsia="zh-CN"/>
              </w:rPr>
              <w:t>投标人</w:t>
            </w:r>
            <w:r>
              <w:rPr>
                <w:rFonts w:hint="eastAsia" w:ascii="宋体" w:hAnsi="宋体" w:eastAsia="宋体" w:cs="宋体"/>
                <w:color w:val="000000" w:themeColor="text1"/>
                <w:sz w:val="21"/>
                <w:szCs w:val="21"/>
                <w:highlight w:val="none"/>
              </w:rPr>
              <w:t>提交的投标文件对应招标文件的技术要求等响应情况进行比较评分，完全满足或优于招标文件要求的得满分。</w:t>
            </w:r>
          </w:p>
          <w:p>
            <w:pPr>
              <w:keepNext w:val="0"/>
              <w:keepLines w:val="0"/>
              <w:pageBreakBefore w:val="0"/>
              <w:kinsoku/>
              <w:wordWrap/>
              <w:overflowPunct/>
              <w:topLinePunct w:val="0"/>
              <w:bidi w:val="0"/>
              <w:spacing w:line="300" w:lineRule="exact"/>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本项目技术要求中带“▲”的为重要技术参数，未响应或不满足，每条扣2分，扣完为止。</w:t>
            </w:r>
          </w:p>
        </w:tc>
      </w:tr>
      <w:tr>
        <w:tblPrEx>
          <w:shd w:val="clear" w:color="auto" w:fill="FFFFFF"/>
          <w:tblCellMar>
            <w:top w:w="0" w:type="dxa"/>
            <w:left w:w="0" w:type="dxa"/>
            <w:bottom w:w="0" w:type="dxa"/>
            <w:right w:w="0" w:type="dxa"/>
          </w:tblCellMar>
        </w:tblPrEx>
        <w:trPr>
          <w:cantSplit/>
          <w:jc w:val="center"/>
        </w:trPr>
        <w:tc>
          <w:tcPr>
            <w:tcW w:w="66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bidi w:val="0"/>
              <w:spacing w:line="300" w:lineRule="exact"/>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193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bidi w:val="0"/>
              <w:spacing w:line="300" w:lineRule="exact"/>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功能演示</w:t>
            </w:r>
          </w:p>
          <w:p>
            <w:pPr>
              <w:keepNext w:val="0"/>
              <w:keepLines w:val="0"/>
              <w:pageBreakBefore w:val="0"/>
              <w:kinsoku/>
              <w:wordWrap/>
              <w:overflowPunct/>
              <w:topLinePunct w:val="0"/>
              <w:bidi w:val="0"/>
              <w:spacing w:line="300" w:lineRule="exact"/>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lang w:val="en-US" w:eastAsia="zh-CN"/>
              </w:rPr>
              <w:t>演示时间20分</w:t>
            </w:r>
            <w:r>
              <w:rPr>
                <w:rFonts w:hint="eastAsia" w:ascii="宋体" w:hAnsi="宋体" w:eastAsia="宋体" w:cs="宋体"/>
                <w:color w:val="000000" w:themeColor="text1"/>
                <w:sz w:val="21"/>
                <w:szCs w:val="21"/>
                <w:highlight w:val="none"/>
                <w:lang w:eastAsia="zh-CN"/>
              </w:rPr>
              <w:t>）</w:t>
            </w:r>
          </w:p>
        </w:tc>
        <w:tc>
          <w:tcPr>
            <w:tcW w:w="87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bidi w:val="0"/>
              <w:spacing w:line="300" w:lineRule="exact"/>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14分</w:t>
            </w:r>
          </w:p>
        </w:tc>
        <w:tc>
          <w:tcPr>
            <w:tcW w:w="607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bidi w:val="0"/>
              <w:spacing w:line="300" w:lineRule="exact"/>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400万AI多向摄像机的通道1和通道2的云台可独立控制，可通过IE浏览器远程调节PT位置以实现监控角度的切换</w:t>
            </w:r>
          </w:p>
          <w:p>
            <w:pPr>
              <w:keepNext w:val="0"/>
              <w:keepLines w:val="0"/>
              <w:pageBreakBefore w:val="0"/>
              <w:kinsoku/>
              <w:wordWrap/>
              <w:overflowPunct/>
              <w:topLinePunct w:val="0"/>
              <w:bidi w:val="0"/>
              <w:spacing w:line="300" w:lineRule="exact"/>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400万AI多向摄像机的通道1和通道2均可设置为全结构化、路道监控、smart事件，普通监控四种模式。</w:t>
            </w:r>
          </w:p>
          <w:p>
            <w:pPr>
              <w:keepNext w:val="0"/>
              <w:keepLines w:val="0"/>
              <w:pageBreakBefore w:val="0"/>
              <w:kinsoku/>
              <w:wordWrap/>
              <w:overflowPunct/>
              <w:topLinePunct w:val="0"/>
              <w:bidi w:val="0"/>
              <w:spacing w:line="300" w:lineRule="exact"/>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400万AI多向摄像机在进行PTZ云台初始化后，可一键设置场景预设模式为多向卡口Y型或多向卡口L型或多镜头协同。</w:t>
            </w:r>
          </w:p>
          <w:p>
            <w:pPr>
              <w:keepNext w:val="0"/>
              <w:keepLines w:val="0"/>
              <w:pageBreakBefore w:val="0"/>
              <w:kinsoku/>
              <w:wordWrap/>
              <w:overflowPunct/>
              <w:topLinePunct w:val="0"/>
              <w:bidi w:val="0"/>
              <w:spacing w:line="300" w:lineRule="exact"/>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400AI全抓拍筒型网络摄像机具备全结构化模式，人脸抓拍模式，道路监控模式切换。人脸抓拍功能下能够对人脸进行检测、抓拍，并且支持最优抓拍和人脸去重。</w:t>
            </w:r>
          </w:p>
          <w:p>
            <w:pPr>
              <w:keepNext w:val="0"/>
              <w:keepLines w:val="0"/>
              <w:pageBreakBefore w:val="0"/>
              <w:kinsoku/>
              <w:wordWrap/>
              <w:overflowPunct/>
              <w:topLinePunct w:val="0"/>
              <w:bidi w:val="0"/>
              <w:spacing w:line="300" w:lineRule="exact"/>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400AI全抓拍筒型网络摄像机内置混合补光灯，可对红外灯及白光灯功率进行调节。</w:t>
            </w:r>
          </w:p>
          <w:p>
            <w:pPr>
              <w:keepNext w:val="0"/>
              <w:keepLines w:val="0"/>
              <w:pageBreakBefore w:val="0"/>
              <w:kinsoku/>
              <w:wordWrap/>
              <w:overflowPunct/>
              <w:topLinePunct w:val="0"/>
              <w:bidi w:val="0"/>
              <w:spacing w:line="300" w:lineRule="exact"/>
              <w:jc w:val="left"/>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rPr>
              <w:t>6</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400万臻全彩枪球一体机支持点击全景画面联动特写镜头，手动跟踪运动目标</w:t>
            </w:r>
            <w:r>
              <w:rPr>
                <w:rFonts w:hint="eastAsia" w:ascii="宋体" w:hAnsi="宋体" w:eastAsia="宋体" w:cs="宋体"/>
                <w:color w:val="000000" w:themeColor="text1"/>
                <w:sz w:val="21"/>
                <w:szCs w:val="21"/>
                <w:highlight w:val="none"/>
                <w:lang w:eastAsia="zh-CN"/>
              </w:rPr>
              <w:t>。</w:t>
            </w:r>
          </w:p>
          <w:p>
            <w:pPr>
              <w:keepNext w:val="0"/>
              <w:keepLines w:val="0"/>
              <w:pageBreakBefore w:val="0"/>
              <w:kinsoku/>
              <w:wordWrap/>
              <w:overflowPunct/>
              <w:topLinePunct w:val="0"/>
              <w:bidi w:val="0"/>
              <w:spacing w:line="300" w:lineRule="exact"/>
              <w:jc w:val="left"/>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rPr>
              <w:t>7</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400万臻全彩枪球一体机全景镜头支持垂直可调，调节角度±5°</w:t>
            </w:r>
            <w:r>
              <w:rPr>
                <w:rFonts w:hint="eastAsia" w:ascii="宋体" w:hAnsi="宋体" w:eastAsia="宋体" w:cs="宋体"/>
                <w:color w:val="000000" w:themeColor="text1"/>
                <w:sz w:val="21"/>
                <w:szCs w:val="21"/>
                <w:highlight w:val="none"/>
                <w:lang w:eastAsia="zh-CN"/>
              </w:rPr>
              <w:t>。</w:t>
            </w:r>
          </w:p>
          <w:p>
            <w:pPr>
              <w:keepNext w:val="0"/>
              <w:keepLines w:val="0"/>
              <w:pageBreakBefore w:val="0"/>
              <w:kinsoku/>
              <w:wordWrap/>
              <w:overflowPunct/>
              <w:topLinePunct w:val="0"/>
              <w:bidi w:val="0"/>
              <w:spacing w:line="300" w:lineRule="exact"/>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注：提供实物演示，不接受其他方式的演示，</w:t>
            </w:r>
            <w:r>
              <w:rPr>
                <w:rFonts w:hint="eastAsia" w:ascii="宋体" w:hAnsi="宋体" w:eastAsia="宋体" w:cs="宋体"/>
                <w:color w:val="000000" w:themeColor="text1"/>
                <w:sz w:val="21"/>
                <w:szCs w:val="21"/>
                <w:highlight w:val="none"/>
              </w:rPr>
              <w:t>每成功演示</w:t>
            </w:r>
            <w:r>
              <w:rPr>
                <w:rFonts w:hint="eastAsia" w:ascii="宋体" w:hAnsi="宋体" w:eastAsia="宋体" w:cs="宋体"/>
                <w:color w:val="000000" w:themeColor="text1"/>
                <w:sz w:val="21"/>
                <w:szCs w:val="21"/>
                <w:highlight w:val="none"/>
                <w:lang w:val="en-US" w:eastAsia="zh-CN"/>
              </w:rPr>
              <w:t>一项</w:t>
            </w:r>
            <w:r>
              <w:rPr>
                <w:rFonts w:hint="eastAsia" w:ascii="宋体" w:hAnsi="宋体" w:eastAsia="宋体" w:cs="宋体"/>
                <w:color w:val="000000" w:themeColor="text1"/>
                <w:sz w:val="21"/>
                <w:szCs w:val="21"/>
                <w:highlight w:val="none"/>
              </w:rPr>
              <w:t>并且满足要求得2分，</w:t>
            </w:r>
            <w:r>
              <w:rPr>
                <w:rFonts w:hint="eastAsia" w:ascii="宋体" w:hAnsi="宋体" w:eastAsia="宋体" w:cs="宋体"/>
                <w:color w:val="000000" w:themeColor="text1"/>
                <w:sz w:val="21"/>
                <w:szCs w:val="21"/>
                <w:highlight w:val="none"/>
                <w:lang w:val="en-US" w:eastAsia="zh-CN"/>
              </w:rPr>
              <w:t>其他不得分</w:t>
            </w:r>
            <w:r>
              <w:rPr>
                <w:rFonts w:hint="eastAsia" w:ascii="宋体" w:hAnsi="宋体" w:eastAsia="宋体" w:cs="宋体"/>
                <w:color w:val="000000" w:themeColor="text1"/>
                <w:sz w:val="21"/>
                <w:szCs w:val="21"/>
                <w:highlight w:val="none"/>
              </w:rPr>
              <w:t xml:space="preserve">。                                              </w:t>
            </w:r>
          </w:p>
        </w:tc>
      </w:tr>
      <w:tr>
        <w:tblPrEx>
          <w:shd w:val="clear" w:color="auto" w:fill="FFFFFF"/>
          <w:tblCellMar>
            <w:top w:w="0" w:type="dxa"/>
            <w:left w:w="0" w:type="dxa"/>
            <w:bottom w:w="0" w:type="dxa"/>
            <w:right w:w="0" w:type="dxa"/>
          </w:tblCellMar>
        </w:tblPrEx>
        <w:trPr>
          <w:cantSplit/>
          <w:trHeight w:val="371" w:hRule="atLeast"/>
          <w:jc w:val="center"/>
        </w:trPr>
        <w:tc>
          <w:tcPr>
            <w:tcW w:w="2602"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pageBreakBefore w:val="0"/>
              <w:kinsoku/>
              <w:wordWrap/>
              <w:overflowPunct/>
              <w:topLinePunct w:val="0"/>
              <w:bidi w:val="0"/>
              <w:spacing w:line="300" w:lineRule="exact"/>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合计</w:t>
            </w:r>
          </w:p>
        </w:tc>
        <w:tc>
          <w:tcPr>
            <w:tcW w:w="87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bidi w:val="0"/>
              <w:spacing w:line="300" w:lineRule="exact"/>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54</w:t>
            </w:r>
            <w:r>
              <w:rPr>
                <w:rFonts w:hint="eastAsia" w:ascii="宋体" w:hAnsi="宋体" w:eastAsia="宋体" w:cs="宋体"/>
                <w:color w:val="000000" w:themeColor="text1"/>
                <w:sz w:val="21"/>
                <w:szCs w:val="21"/>
                <w:highlight w:val="none"/>
              </w:rPr>
              <w:t>分</w:t>
            </w:r>
          </w:p>
        </w:tc>
        <w:tc>
          <w:tcPr>
            <w:tcW w:w="607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bidi w:val="0"/>
              <w:spacing w:line="300" w:lineRule="exact"/>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r>
    </w:tbl>
    <w:p>
      <w:pPr>
        <w:rPr>
          <w:color w:val="000000" w:themeColor="text1"/>
          <w:highlight w:val="none"/>
        </w:rPr>
      </w:pPr>
      <w:r>
        <w:rPr>
          <w:color w:val="000000" w:themeColor="text1"/>
          <w:highlight w:val="none"/>
        </w:rPr>
        <w:t>商务</w:t>
      </w:r>
      <w:r>
        <w:rPr>
          <w:rFonts w:hint="eastAsia"/>
          <w:color w:val="000000" w:themeColor="text1"/>
          <w:highlight w:val="none"/>
        </w:rPr>
        <w:t>评</w:t>
      </w:r>
      <w:r>
        <w:rPr>
          <w:color w:val="000000" w:themeColor="text1"/>
          <w:highlight w:val="none"/>
        </w:rPr>
        <w:t>分</w:t>
      </w:r>
      <w:r>
        <w:rPr>
          <w:rFonts w:hint="eastAsia"/>
          <w:color w:val="000000" w:themeColor="text1"/>
          <w:highlight w:val="none"/>
        </w:rPr>
        <w:t>细则</w:t>
      </w:r>
    </w:p>
    <w:tbl>
      <w:tblPr>
        <w:tblStyle w:val="47"/>
        <w:tblW w:w="9604" w:type="dxa"/>
        <w:tblInd w:w="58" w:type="dxa"/>
        <w:tblLayout w:type="fixed"/>
        <w:tblCellMar>
          <w:top w:w="0" w:type="dxa"/>
          <w:left w:w="0" w:type="dxa"/>
          <w:bottom w:w="0" w:type="dxa"/>
          <w:right w:w="0" w:type="dxa"/>
        </w:tblCellMar>
      </w:tblPr>
      <w:tblGrid>
        <w:gridCol w:w="675"/>
        <w:gridCol w:w="1913"/>
        <w:gridCol w:w="900"/>
        <w:gridCol w:w="6116"/>
      </w:tblGrid>
      <w:tr>
        <w:tblPrEx>
          <w:tblCellMar>
            <w:top w:w="0" w:type="dxa"/>
            <w:left w:w="0" w:type="dxa"/>
            <w:bottom w:w="0" w:type="dxa"/>
            <w:right w:w="0" w:type="dxa"/>
          </w:tblCellMar>
        </w:tblPrEx>
        <w:trPr>
          <w:cantSplit/>
          <w:trHeight w:val="403" w:hRule="atLeast"/>
        </w:trPr>
        <w:tc>
          <w:tcPr>
            <w:tcW w:w="67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序号</w:t>
            </w:r>
          </w:p>
        </w:tc>
        <w:tc>
          <w:tcPr>
            <w:tcW w:w="1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评审内容</w:t>
            </w:r>
          </w:p>
        </w:tc>
        <w:tc>
          <w:tcPr>
            <w:tcW w:w="90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分值</w:t>
            </w:r>
          </w:p>
        </w:tc>
        <w:tc>
          <w:tcPr>
            <w:tcW w:w="611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评审标准</w:t>
            </w:r>
          </w:p>
        </w:tc>
      </w:tr>
      <w:tr>
        <w:tblPrEx>
          <w:tblCellMar>
            <w:top w:w="0" w:type="dxa"/>
            <w:left w:w="0" w:type="dxa"/>
            <w:bottom w:w="0" w:type="dxa"/>
            <w:right w:w="0" w:type="dxa"/>
          </w:tblCellMar>
        </w:tblPrEx>
        <w:trPr>
          <w:cantSplit/>
          <w:trHeight w:val="1666" w:hRule="atLeast"/>
        </w:trPr>
        <w:tc>
          <w:tcPr>
            <w:tcW w:w="67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p>
        </w:tc>
        <w:tc>
          <w:tcPr>
            <w:tcW w:w="1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pStyle w:val="27"/>
              <w:widowControl/>
              <w:tabs>
                <w:tab w:val="left" w:pos="1506"/>
              </w:tabs>
              <w:adjustRightInd w:val="0"/>
              <w:snapToGrid w:val="0"/>
              <w:spacing w:line="240" w:lineRule="auto"/>
              <w:ind w:left="0" w:leftChars="0" w:firstLine="0" w:firstLineChars="0"/>
              <w:jc w:val="center"/>
              <w:rPr>
                <w:rFonts w:hint="eastAsia" w:ascii="宋体" w:hAnsi="宋体" w:eastAsia="宋体" w:cs="宋体"/>
                <w:color w:val="000000" w:themeColor="text1"/>
                <w:sz w:val="21"/>
                <w:szCs w:val="21"/>
                <w:highlight w:val="none"/>
              </w:rPr>
            </w:pPr>
            <w:r>
              <w:rPr>
                <w:rFonts w:hint="eastAsia" w:ascii="宋体" w:hAnsi="宋体" w:eastAsia="宋体" w:cs="宋体"/>
                <w:bCs/>
                <w:color w:val="000000" w:themeColor="text1"/>
                <w:sz w:val="21"/>
                <w:szCs w:val="21"/>
                <w:highlight w:val="none"/>
              </w:rPr>
              <w:t>同类业绩</w:t>
            </w:r>
          </w:p>
        </w:tc>
        <w:tc>
          <w:tcPr>
            <w:tcW w:w="900" w:type="dxa"/>
            <w:tcBorders>
              <w:top w:val="single" w:color="auto" w:sz="8" w:space="0"/>
              <w:left w:val="single" w:color="auto" w:sz="8" w:space="0"/>
              <w:right w:val="single" w:color="auto" w:sz="8" w:space="0"/>
            </w:tcBorders>
            <w:tcMar>
              <w:top w:w="0" w:type="dxa"/>
              <w:left w:w="108" w:type="dxa"/>
              <w:bottom w:w="0" w:type="dxa"/>
              <w:right w:w="108" w:type="dxa"/>
            </w:tcMar>
            <w:vAlign w:val="center"/>
          </w:tcPr>
          <w:p>
            <w:pPr>
              <w:pStyle w:val="27"/>
              <w:widowControl/>
              <w:tabs>
                <w:tab w:val="left" w:pos="1506"/>
              </w:tabs>
              <w:adjustRightInd w:val="0"/>
              <w:snapToGrid w:val="0"/>
              <w:spacing w:line="240" w:lineRule="auto"/>
              <w:ind w:left="0" w:leftChars="0" w:firstLine="0" w:firstLineChars="0"/>
              <w:jc w:val="center"/>
              <w:rPr>
                <w:rFonts w:hint="eastAsia" w:ascii="宋体" w:hAnsi="宋体" w:eastAsia="宋体" w:cs="宋体"/>
                <w:color w:val="000000" w:themeColor="text1"/>
                <w:sz w:val="21"/>
                <w:szCs w:val="21"/>
                <w:highlight w:val="none"/>
              </w:rPr>
            </w:pPr>
            <w:r>
              <w:rPr>
                <w:rFonts w:hint="eastAsia" w:ascii="宋体" w:hAnsi="宋体" w:eastAsia="宋体" w:cs="宋体"/>
                <w:bCs/>
                <w:color w:val="000000" w:themeColor="text1"/>
                <w:sz w:val="21"/>
                <w:szCs w:val="21"/>
                <w:highlight w:val="none"/>
                <w:lang w:val="en-US" w:eastAsia="zh-CN"/>
              </w:rPr>
              <w:t>3</w:t>
            </w:r>
            <w:r>
              <w:rPr>
                <w:rFonts w:hint="eastAsia" w:ascii="宋体" w:hAnsi="宋体" w:eastAsia="宋体" w:cs="宋体"/>
                <w:bCs/>
                <w:color w:val="000000" w:themeColor="text1"/>
                <w:sz w:val="21"/>
                <w:szCs w:val="21"/>
                <w:highlight w:val="none"/>
              </w:rPr>
              <w:t>分</w:t>
            </w:r>
          </w:p>
        </w:tc>
        <w:tc>
          <w:tcPr>
            <w:tcW w:w="6116" w:type="dxa"/>
            <w:tcBorders>
              <w:top w:val="single" w:color="auto" w:sz="8" w:space="0"/>
              <w:left w:val="single" w:color="auto" w:sz="8" w:space="0"/>
              <w:right w:val="single" w:color="auto" w:sz="8" w:space="0"/>
            </w:tcBorders>
            <w:tcMar>
              <w:top w:w="0" w:type="dxa"/>
              <w:left w:w="108" w:type="dxa"/>
              <w:bottom w:w="0" w:type="dxa"/>
              <w:right w:w="108" w:type="dxa"/>
            </w:tcMar>
            <w:vAlign w:val="top"/>
          </w:tcPr>
          <w:p>
            <w:pPr>
              <w:pStyle w:val="54"/>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根据投标人提供的201</w:t>
            </w:r>
            <w:r>
              <w:rPr>
                <w:rFonts w:hint="eastAsia" w:ascii="宋体" w:hAnsi="宋体" w:eastAsia="宋体" w:cs="宋体"/>
                <w:color w:val="000000" w:themeColor="text1"/>
                <w:sz w:val="21"/>
                <w:szCs w:val="21"/>
                <w:highlight w:val="none"/>
                <w:lang w:val="en-US" w:eastAsia="zh-CN"/>
              </w:rPr>
              <w:t>9</w:t>
            </w:r>
            <w:r>
              <w:rPr>
                <w:rFonts w:hint="eastAsia" w:ascii="宋体" w:hAnsi="宋体" w:eastAsia="宋体" w:cs="宋体"/>
                <w:color w:val="000000" w:themeColor="text1"/>
                <w:sz w:val="21"/>
                <w:szCs w:val="21"/>
                <w:highlight w:val="none"/>
              </w:rPr>
              <w:t>年1月1日以来完成</w:t>
            </w:r>
            <w:r>
              <w:rPr>
                <w:rFonts w:hint="eastAsia" w:ascii="宋体" w:hAnsi="宋体" w:eastAsia="宋体" w:cs="宋体"/>
                <w:color w:val="000000" w:themeColor="text1"/>
                <w:sz w:val="21"/>
                <w:szCs w:val="21"/>
                <w:highlight w:val="none"/>
                <w:lang w:val="en-US" w:eastAsia="zh-CN"/>
              </w:rPr>
              <w:t>同类</w:t>
            </w:r>
            <w:r>
              <w:rPr>
                <w:rFonts w:hint="eastAsia" w:ascii="宋体" w:hAnsi="宋体" w:eastAsia="宋体" w:cs="宋体"/>
                <w:color w:val="000000" w:themeColor="text1"/>
                <w:sz w:val="21"/>
                <w:szCs w:val="21"/>
                <w:highlight w:val="none"/>
              </w:rPr>
              <w:t>业绩进行评分，每个符合要求的业绩得1分。最高得3分，未响应或不满足不得分（按合同签订时间为准，须提供合同关键页复印件（包含但不限于合同首页、合同金额页、合同双方签字页）。</w:t>
            </w:r>
          </w:p>
          <w:p>
            <w:pPr>
              <w:pStyle w:val="54"/>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说明：提供</w:t>
            </w:r>
            <w:r>
              <w:rPr>
                <w:rFonts w:hint="eastAsia" w:ascii="宋体" w:hAnsi="宋体" w:eastAsia="宋体" w:cs="宋体"/>
                <w:color w:val="000000" w:themeColor="text1"/>
                <w:sz w:val="21"/>
                <w:szCs w:val="21"/>
                <w:highlight w:val="none"/>
                <w:lang w:val="en-US" w:eastAsia="zh-CN"/>
              </w:rPr>
              <w:t>的同类</w:t>
            </w:r>
            <w:r>
              <w:rPr>
                <w:rFonts w:hint="eastAsia" w:ascii="宋体" w:hAnsi="宋体" w:eastAsia="宋体" w:cs="宋体"/>
                <w:color w:val="000000" w:themeColor="text1"/>
                <w:sz w:val="21"/>
                <w:szCs w:val="21"/>
                <w:highlight w:val="none"/>
              </w:rPr>
              <w:t>业绩包括</w:t>
            </w:r>
            <w:r>
              <w:rPr>
                <w:rFonts w:hint="eastAsia" w:ascii="宋体" w:hAnsi="宋体" w:eastAsia="宋体" w:cs="宋体"/>
                <w:color w:val="000000" w:themeColor="text1"/>
                <w:sz w:val="21"/>
                <w:szCs w:val="21"/>
                <w:highlight w:val="none"/>
                <w:lang w:val="en-US" w:eastAsia="zh-CN"/>
              </w:rPr>
              <w:t>投标人</w:t>
            </w:r>
            <w:r>
              <w:rPr>
                <w:rFonts w:hint="eastAsia" w:ascii="宋体" w:hAnsi="宋体" w:eastAsia="宋体" w:cs="宋体"/>
                <w:color w:val="000000" w:themeColor="text1"/>
                <w:sz w:val="21"/>
                <w:szCs w:val="21"/>
                <w:highlight w:val="none"/>
              </w:rPr>
              <w:t>和分公司的业绩。</w:t>
            </w:r>
            <w:r>
              <w:rPr>
                <w:rFonts w:hint="eastAsia" w:ascii="宋体" w:hAnsi="宋体" w:eastAsia="宋体" w:cs="宋体"/>
                <w:color w:val="000000" w:themeColor="text1"/>
                <w:sz w:val="21"/>
                <w:szCs w:val="21"/>
                <w:highlight w:val="none"/>
              </w:rPr>
              <w:br w:type="textWrapping"/>
            </w:r>
            <w:r>
              <w:rPr>
                <w:rFonts w:hint="eastAsia" w:ascii="宋体" w:hAnsi="宋体" w:eastAsia="宋体" w:cs="宋体"/>
                <w:b/>
                <w:bCs/>
                <w:color w:val="000000" w:themeColor="text1"/>
                <w:sz w:val="21"/>
                <w:szCs w:val="21"/>
                <w:highlight w:val="none"/>
              </w:rPr>
              <w:t>注：以上证明材料须提供有效复印件并加盖投标人公章。</w:t>
            </w:r>
          </w:p>
        </w:tc>
      </w:tr>
      <w:tr>
        <w:tblPrEx>
          <w:tblCellMar>
            <w:top w:w="0" w:type="dxa"/>
            <w:left w:w="0" w:type="dxa"/>
            <w:bottom w:w="0" w:type="dxa"/>
            <w:right w:w="0" w:type="dxa"/>
          </w:tblCellMar>
        </w:tblPrEx>
        <w:trPr>
          <w:cantSplit/>
          <w:trHeight w:val="620" w:hRule="atLeast"/>
        </w:trPr>
        <w:tc>
          <w:tcPr>
            <w:tcW w:w="67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1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pStyle w:val="27"/>
              <w:widowControl/>
              <w:tabs>
                <w:tab w:val="left" w:pos="1506"/>
              </w:tabs>
              <w:adjustRightInd w:val="0"/>
              <w:snapToGrid w:val="0"/>
              <w:spacing w:line="240" w:lineRule="auto"/>
              <w:ind w:left="0" w:leftChars="0" w:firstLine="0" w:firstLineChars="0"/>
              <w:jc w:val="center"/>
              <w:rPr>
                <w:rFonts w:hint="eastAsia" w:ascii="宋体" w:hAnsi="宋体" w:eastAsia="宋体" w:cs="宋体"/>
                <w:color w:val="000000" w:themeColor="text1"/>
                <w:sz w:val="21"/>
                <w:szCs w:val="21"/>
                <w:highlight w:val="none"/>
              </w:rPr>
            </w:pPr>
            <w:r>
              <w:rPr>
                <w:rFonts w:hint="eastAsia" w:ascii="宋体" w:hAnsi="宋体" w:eastAsia="宋体" w:cs="宋体"/>
                <w:bCs/>
                <w:color w:val="000000" w:themeColor="text1"/>
                <w:sz w:val="21"/>
                <w:szCs w:val="21"/>
                <w:highlight w:val="none"/>
              </w:rPr>
              <w:t>项目售后服务方案</w:t>
            </w:r>
          </w:p>
        </w:tc>
        <w:tc>
          <w:tcPr>
            <w:tcW w:w="90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pStyle w:val="27"/>
              <w:widowControl/>
              <w:tabs>
                <w:tab w:val="left" w:pos="1506"/>
              </w:tabs>
              <w:adjustRightInd w:val="0"/>
              <w:snapToGrid w:val="0"/>
              <w:spacing w:line="240" w:lineRule="auto"/>
              <w:ind w:left="0" w:leftChars="0" w:firstLine="0" w:firstLineChars="0"/>
              <w:jc w:val="center"/>
              <w:rPr>
                <w:rFonts w:hint="eastAsia" w:ascii="宋体" w:hAnsi="宋体" w:eastAsia="宋体" w:cs="宋体"/>
                <w:color w:val="000000" w:themeColor="text1"/>
                <w:sz w:val="21"/>
                <w:szCs w:val="21"/>
                <w:highlight w:val="none"/>
              </w:rPr>
            </w:pPr>
            <w:r>
              <w:rPr>
                <w:rFonts w:hint="eastAsia" w:ascii="宋体" w:hAnsi="宋体" w:eastAsia="宋体" w:cs="宋体"/>
                <w:bCs/>
                <w:color w:val="000000" w:themeColor="text1"/>
                <w:sz w:val="21"/>
                <w:szCs w:val="21"/>
                <w:highlight w:val="none"/>
              </w:rPr>
              <w:t>4分</w:t>
            </w:r>
          </w:p>
        </w:tc>
        <w:tc>
          <w:tcPr>
            <w:tcW w:w="611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top"/>
          </w:tcPr>
          <w:p>
            <w:pPr>
              <w:pStyle w:val="54"/>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售后服务方案提供有：①质保期内服务内容；②售后服务响应及应急措施；③为保障项目的售后培训方案；④售后人员配置及本地化售后服务措施；</w:t>
            </w:r>
          </w:p>
          <w:p>
            <w:pPr>
              <w:pStyle w:val="54"/>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投标人售后服务方案详细清晰，科学全面，售后服务能力强、完全满足招标文件需求，可操作行性高，服务保障情况完善的，得</w:t>
            </w:r>
            <w:r>
              <w:rPr>
                <w:rFonts w:hint="eastAsia" w:ascii="宋体" w:hAnsi="宋体" w:eastAsia="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rPr>
              <w:t>分。</w:t>
            </w:r>
          </w:p>
          <w:p>
            <w:pPr>
              <w:pStyle w:val="54"/>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投标人售后服务方案较详细清晰，较科学全面，售后服务能力尚可，基本满足招标招标文件需求，可操作性较高的，服务保障较完善，得</w:t>
            </w:r>
            <w:r>
              <w:rPr>
                <w:rFonts w:hint="eastAsia" w:ascii="宋体" w:hAnsi="宋体" w:eastAsia="宋体" w:cs="宋体"/>
                <w:color w:val="000000" w:themeColor="text1"/>
                <w:sz w:val="21"/>
                <w:szCs w:val="21"/>
                <w:highlight w:val="none"/>
                <w:lang w:val="en-US" w:eastAsia="zh-CN"/>
              </w:rPr>
              <w:t>2</w:t>
            </w:r>
            <w:r>
              <w:rPr>
                <w:rFonts w:hint="eastAsia" w:ascii="宋体" w:hAnsi="宋体" w:eastAsia="宋体" w:cs="宋体"/>
                <w:color w:val="000000" w:themeColor="text1"/>
                <w:sz w:val="21"/>
                <w:szCs w:val="21"/>
                <w:highlight w:val="none"/>
              </w:rPr>
              <w:t>分。</w:t>
            </w:r>
          </w:p>
          <w:p>
            <w:pPr>
              <w:pStyle w:val="54"/>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投标人售后服务方案基本完整，主要内容未遗漏，售后服务内容一般，基本满足招标文件要求的，得</w:t>
            </w:r>
            <w:r>
              <w:rPr>
                <w:rFonts w:hint="eastAsia" w:ascii="宋体" w:hAnsi="宋体" w:eastAsia="宋体" w:cs="宋体"/>
                <w:color w:val="000000" w:themeColor="text1"/>
                <w:sz w:val="21"/>
                <w:szCs w:val="21"/>
                <w:highlight w:val="none"/>
                <w:lang w:val="en-US" w:eastAsia="zh-CN"/>
              </w:rPr>
              <w:t>1</w:t>
            </w:r>
            <w:r>
              <w:rPr>
                <w:rFonts w:hint="eastAsia" w:ascii="宋体" w:hAnsi="宋体" w:eastAsia="宋体" w:cs="宋体"/>
                <w:color w:val="000000" w:themeColor="text1"/>
                <w:sz w:val="21"/>
                <w:szCs w:val="21"/>
                <w:highlight w:val="none"/>
              </w:rPr>
              <w:t>分。</w:t>
            </w:r>
          </w:p>
          <w:p>
            <w:pPr>
              <w:pStyle w:val="54"/>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不提供不得分。</w:t>
            </w:r>
          </w:p>
        </w:tc>
      </w:tr>
      <w:tr>
        <w:tblPrEx>
          <w:tblCellMar>
            <w:top w:w="0" w:type="dxa"/>
            <w:left w:w="0" w:type="dxa"/>
            <w:bottom w:w="0" w:type="dxa"/>
            <w:right w:w="0" w:type="dxa"/>
          </w:tblCellMar>
        </w:tblPrEx>
        <w:trPr>
          <w:cantSplit/>
          <w:trHeight w:val="620" w:hRule="atLeast"/>
        </w:trPr>
        <w:tc>
          <w:tcPr>
            <w:tcW w:w="67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w:t>
            </w:r>
          </w:p>
        </w:tc>
        <w:tc>
          <w:tcPr>
            <w:tcW w:w="1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pStyle w:val="27"/>
              <w:widowControl/>
              <w:tabs>
                <w:tab w:val="left" w:pos="1506"/>
              </w:tabs>
              <w:adjustRightInd w:val="0"/>
              <w:snapToGrid w:val="0"/>
              <w:spacing w:line="240" w:lineRule="auto"/>
              <w:ind w:left="0" w:leftChars="0" w:firstLine="0" w:firstLineChars="0"/>
              <w:jc w:val="center"/>
              <w:rPr>
                <w:rFonts w:hint="eastAsia" w:ascii="宋体" w:hAnsi="宋体" w:eastAsia="宋体" w:cs="宋体"/>
                <w:color w:val="000000" w:themeColor="text1"/>
                <w:sz w:val="21"/>
                <w:szCs w:val="21"/>
                <w:highlight w:val="none"/>
              </w:rPr>
            </w:pPr>
            <w:r>
              <w:rPr>
                <w:rFonts w:hint="eastAsia" w:ascii="宋体" w:hAnsi="宋体" w:eastAsia="宋体" w:cs="宋体"/>
                <w:bCs/>
                <w:color w:val="000000" w:themeColor="text1"/>
                <w:sz w:val="21"/>
                <w:szCs w:val="21"/>
                <w:highlight w:val="none"/>
              </w:rPr>
              <w:t>综合实力</w:t>
            </w:r>
          </w:p>
        </w:tc>
        <w:tc>
          <w:tcPr>
            <w:tcW w:w="90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pStyle w:val="27"/>
              <w:widowControl/>
              <w:tabs>
                <w:tab w:val="left" w:pos="1506"/>
              </w:tabs>
              <w:adjustRightInd w:val="0"/>
              <w:snapToGrid w:val="0"/>
              <w:spacing w:line="240" w:lineRule="auto"/>
              <w:ind w:left="0" w:leftChars="0" w:firstLine="0" w:firstLineChars="0"/>
              <w:jc w:val="center"/>
              <w:rPr>
                <w:rFonts w:hint="eastAsia" w:ascii="宋体" w:hAnsi="宋体" w:eastAsia="宋体" w:cs="宋体"/>
                <w:color w:val="000000" w:themeColor="text1"/>
                <w:sz w:val="21"/>
                <w:szCs w:val="21"/>
                <w:highlight w:val="none"/>
              </w:rPr>
            </w:pPr>
            <w:r>
              <w:rPr>
                <w:rFonts w:hint="eastAsia" w:ascii="宋体" w:hAnsi="宋体" w:eastAsia="宋体" w:cs="宋体"/>
                <w:bCs/>
                <w:color w:val="000000" w:themeColor="text1"/>
                <w:sz w:val="21"/>
                <w:szCs w:val="21"/>
                <w:highlight w:val="none"/>
              </w:rPr>
              <w:t>9分</w:t>
            </w:r>
          </w:p>
        </w:tc>
        <w:tc>
          <w:tcPr>
            <w:tcW w:w="611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top"/>
          </w:tcPr>
          <w:p>
            <w:pPr>
              <w:pStyle w:val="54"/>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1.</w:t>
            </w:r>
            <w:r>
              <w:rPr>
                <w:rFonts w:hint="eastAsia" w:ascii="宋体" w:hAnsi="宋体" w:eastAsia="宋体" w:cs="宋体"/>
                <w:color w:val="000000" w:themeColor="text1"/>
                <w:sz w:val="21"/>
                <w:szCs w:val="21"/>
                <w:highlight w:val="none"/>
              </w:rPr>
              <w:t>投标人</w:t>
            </w:r>
            <w:r>
              <w:rPr>
                <w:rFonts w:hint="eastAsia" w:ascii="宋体" w:hAnsi="宋体" w:eastAsia="宋体" w:cs="宋体"/>
                <w:color w:val="000000" w:themeColor="text1"/>
                <w:sz w:val="21"/>
                <w:szCs w:val="21"/>
                <w:highlight w:val="none"/>
                <w:lang w:val="en-US" w:eastAsia="zh-CN"/>
              </w:rPr>
              <w:t>具有：</w:t>
            </w:r>
          </w:p>
          <w:p>
            <w:pPr>
              <w:pStyle w:val="54"/>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①信息安全控制管理体系认证证书（ISO 27018）；</w:t>
            </w:r>
          </w:p>
          <w:p>
            <w:pPr>
              <w:pStyle w:val="54"/>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②业务连续性管理体系认证证书（ISO 22301）；</w:t>
            </w:r>
          </w:p>
          <w:p>
            <w:pPr>
              <w:pStyle w:val="54"/>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③软件过程能力及成熟度评估认证证书（SJ/T11235-2001）；</w:t>
            </w:r>
          </w:p>
          <w:p>
            <w:pPr>
              <w:pStyle w:val="54"/>
              <w:rPr>
                <w:rFonts w:hint="eastAsia" w:ascii="宋体" w:hAnsi="宋体" w:eastAsia="宋体" w:cs="宋体"/>
                <w:color w:val="000000" w:themeColor="text1"/>
                <w:sz w:val="21"/>
                <w:szCs w:val="21"/>
                <w:highlight w:val="none"/>
              </w:rPr>
            </w:pPr>
            <w:r>
              <w:rPr>
                <w:rFonts w:hint="eastAsia" w:ascii="宋体" w:hAnsi="宋体" w:eastAsia="宋体" w:cs="宋体"/>
                <w:b/>
                <w:bCs/>
                <w:color w:val="000000" w:themeColor="text1"/>
                <w:sz w:val="21"/>
                <w:szCs w:val="21"/>
                <w:highlight w:val="none"/>
                <w:lang w:val="en-US" w:eastAsia="zh-CN"/>
              </w:rPr>
              <w:t>提供一个得</w:t>
            </w:r>
            <w:r>
              <w:rPr>
                <w:rFonts w:hint="eastAsia" w:ascii="宋体" w:hAnsi="宋体" w:eastAsia="宋体" w:cs="宋体"/>
                <w:b/>
                <w:bCs/>
                <w:color w:val="000000" w:themeColor="text1"/>
                <w:sz w:val="21"/>
                <w:szCs w:val="21"/>
                <w:highlight w:val="none"/>
              </w:rPr>
              <w:t>2分，不提供不得分；</w:t>
            </w:r>
          </w:p>
          <w:p>
            <w:pPr>
              <w:pStyle w:val="54"/>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投标人获得中国网络安全审查技术与认证中心颁发的CCRC信息安全服务资质认证书进行评审：</w:t>
            </w:r>
          </w:p>
          <w:p>
            <w:pPr>
              <w:pStyle w:val="54"/>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①软件安全开发一级认证；</w:t>
            </w:r>
          </w:p>
          <w:p>
            <w:pPr>
              <w:pStyle w:val="54"/>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②安全集成一级认证；</w:t>
            </w:r>
          </w:p>
          <w:p>
            <w:pPr>
              <w:pStyle w:val="54"/>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③安全运维一级认证；</w:t>
            </w:r>
          </w:p>
          <w:p>
            <w:pPr>
              <w:pStyle w:val="54"/>
              <w:rPr>
                <w:rFonts w:hint="eastAsia" w:ascii="宋体" w:hAnsi="宋体" w:eastAsia="宋体" w:cs="宋体"/>
                <w:color w:val="000000" w:themeColor="text1"/>
                <w:sz w:val="21"/>
                <w:szCs w:val="21"/>
                <w:highlight w:val="none"/>
              </w:rPr>
            </w:pPr>
            <w:r>
              <w:rPr>
                <w:rFonts w:hint="eastAsia" w:ascii="宋体" w:hAnsi="宋体" w:eastAsia="宋体" w:cs="宋体"/>
                <w:b/>
                <w:bCs/>
                <w:color w:val="000000" w:themeColor="text1"/>
                <w:sz w:val="21"/>
                <w:szCs w:val="21"/>
                <w:highlight w:val="none"/>
                <w:lang w:val="en-US" w:eastAsia="zh-CN"/>
              </w:rPr>
              <w:t>提供一个得1</w:t>
            </w:r>
            <w:r>
              <w:rPr>
                <w:rFonts w:hint="eastAsia" w:ascii="宋体" w:hAnsi="宋体" w:eastAsia="宋体" w:cs="宋体"/>
                <w:b/>
                <w:bCs/>
                <w:color w:val="000000" w:themeColor="text1"/>
                <w:sz w:val="21"/>
                <w:szCs w:val="21"/>
                <w:highlight w:val="none"/>
              </w:rPr>
              <w:t>分，不提供不得分；</w:t>
            </w:r>
            <w:r>
              <w:rPr>
                <w:rFonts w:hint="eastAsia" w:ascii="宋体" w:hAnsi="宋体" w:eastAsia="宋体" w:cs="宋体"/>
                <w:color w:val="000000" w:themeColor="text1"/>
                <w:sz w:val="21"/>
                <w:szCs w:val="21"/>
                <w:highlight w:val="none"/>
              </w:rPr>
              <w:br w:type="textWrapping"/>
            </w:r>
            <w:r>
              <w:rPr>
                <w:rFonts w:hint="eastAsia" w:ascii="宋体" w:hAnsi="宋体" w:eastAsia="宋体" w:cs="宋体"/>
                <w:b/>
                <w:bCs/>
                <w:color w:val="000000" w:themeColor="text1"/>
                <w:sz w:val="21"/>
                <w:szCs w:val="21"/>
                <w:highlight w:val="none"/>
              </w:rPr>
              <w:t>注：以上证明材料须提供有效复印件并加盖投标人公章。</w:t>
            </w:r>
          </w:p>
        </w:tc>
      </w:tr>
      <w:tr>
        <w:tblPrEx>
          <w:tblCellMar>
            <w:top w:w="0" w:type="dxa"/>
            <w:left w:w="0" w:type="dxa"/>
            <w:bottom w:w="0" w:type="dxa"/>
            <w:right w:w="0" w:type="dxa"/>
          </w:tblCellMar>
        </w:tblPrEx>
        <w:trPr>
          <w:cantSplit/>
          <w:trHeight w:val="429" w:hRule="atLeast"/>
        </w:trPr>
        <w:tc>
          <w:tcPr>
            <w:tcW w:w="2588" w:type="dxa"/>
            <w:gridSpan w:val="2"/>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合计</w:t>
            </w:r>
          </w:p>
        </w:tc>
        <w:tc>
          <w:tcPr>
            <w:tcW w:w="90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16</w:t>
            </w:r>
            <w:r>
              <w:rPr>
                <w:rFonts w:hint="eastAsia" w:ascii="宋体" w:hAnsi="宋体" w:eastAsia="宋体" w:cs="宋体"/>
                <w:color w:val="000000" w:themeColor="text1"/>
                <w:sz w:val="21"/>
                <w:szCs w:val="21"/>
                <w:highlight w:val="none"/>
              </w:rPr>
              <w:t>分</w:t>
            </w:r>
          </w:p>
        </w:tc>
        <w:tc>
          <w:tcPr>
            <w:tcW w:w="611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sz w:val="21"/>
                <w:szCs w:val="21"/>
                <w:highlight w:val="none"/>
              </w:rPr>
            </w:pPr>
          </w:p>
        </w:tc>
      </w:tr>
    </w:tbl>
    <w:p>
      <w:pPr>
        <w:rPr>
          <w:rFonts w:ascii="宋体"/>
          <w:color w:val="000000" w:themeColor="text1"/>
          <w:szCs w:val="21"/>
          <w:highlight w:val="none"/>
        </w:rPr>
      </w:pPr>
      <w:r>
        <w:rPr>
          <w:rFonts w:hint="eastAsia"/>
          <w:color w:val="000000" w:themeColor="text1"/>
          <w:highlight w:val="none"/>
        </w:rPr>
        <w:t>注：对照每项评价指标要求，投标文件完全不满足要求的，不得分。</w:t>
      </w: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widowControl/>
        <w:tabs>
          <w:tab w:val="left" w:pos="753"/>
        </w:tabs>
        <w:adjustRightInd w:val="0"/>
        <w:snapToGrid w:val="0"/>
        <w:spacing w:line="360" w:lineRule="auto"/>
        <w:ind w:left="753" w:hanging="753"/>
        <w:rPr>
          <w:rFonts w:ascii="宋体" w:hAnsi="宋体" w:cs="Arial"/>
          <w:color w:val="000000" w:themeColor="text1"/>
          <w:szCs w:val="21"/>
          <w:highlight w:val="none"/>
        </w:rPr>
        <w:sectPr>
          <w:footerReference r:id="rId10" w:type="first"/>
          <w:footerReference r:id="rId9" w:type="default"/>
          <w:pgSz w:w="11906" w:h="16838"/>
          <w:pgMar w:top="1417" w:right="1230" w:bottom="1417" w:left="1230" w:header="851" w:footer="850" w:gutter="0"/>
          <w:cols w:space="0" w:num="1"/>
          <w:docGrid w:linePitch="312" w:charSpace="0"/>
        </w:sectPr>
      </w:pPr>
    </w:p>
    <w:bookmarkEnd w:id="1582"/>
    <w:bookmarkEnd w:id="1583"/>
    <w:bookmarkEnd w:id="1584"/>
    <w:bookmarkEnd w:id="1585"/>
    <w:bookmarkEnd w:id="1586"/>
    <w:bookmarkEnd w:id="1587"/>
    <w:bookmarkEnd w:id="1588"/>
    <w:bookmarkEnd w:id="1589"/>
    <w:bookmarkEnd w:id="1590"/>
    <w:bookmarkEnd w:id="1591"/>
    <w:p>
      <w:pPr>
        <w:pStyle w:val="3"/>
        <w:numPr>
          <w:ilvl w:val="0"/>
          <w:numId w:val="0"/>
        </w:numPr>
        <w:spacing w:beforeLines="0"/>
        <w:rPr>
          <w:color w:val="000000" w:themeColor="text1"/>
          <w:highlight w:val="none"/>
        </w:rPr>
      </w:pPr>
      <w:bookmarkStart w:id="1602" w:name="_Hlt21939000"/>
      <w:bookmarkEnd w:id="1602"/>
      <w:bookmarkStart w:id="1603" w:name="_Toc333935355"/>
      <w:bookmarkStart w:id="1604" w:name="_Toc339019898"/>
      <w:bookmarkStart w:id="1605" w:name="_Toc333237686"/>
      <w:bookmarkStart w:id="1606" w:name="_Toc332206717"/>
      <w:bookmarkStart w:id="1607" w:name="_Toc337632367"/>
      <w:bookmarkStart w:id="1608" w:name="_Toc336681589"/>
      <w:bookmarkStart w:id="1609" w:name="_Toc330459994"/>
      <w:bookmarkStart w:id="1610" w:name="_Toc336681944"/>
      <w:bookmarkStart w:id="1611" w:name="_Toc340507451"/>
      <w:bookmarkStart w:id="1612" w:name="_Toc339362309"/>
      <w:bookmarkStart w:id="1613" w:name="_Toc350438758"/>
      <w:bookmarkStart w:id="1614" w:name="_Toc339020242"/>
      <w:bookmarkStart w:id="1615" w:name="_Toc350756459"/>
      <w:bookmarkStart w:id="1616" w:name="_Toc374454610"/>
      <w:bookmarkStart w:id="1617" w:name="_Toc340677079"/>
      <w:bookmarkStart w:id="1618" w:name="_Toc365985187"/>
      <w:bookmarkStart w:id="1619" w:name="_Toc332270355"/>
      <w:bookmarkStart w:id="1620" w:name="_Toc366072538"/>
      <w:bookmarkStart w:id="1621" w:name="_Toc340672878"/>
      <w:bookmarkStart w:id="1622" w:name="_Toc331684047"/>
      <w:bookmarkStart w:id="1623" w:name="_Toc333238642"/>
      <w:bookmarkStart w:id="1624" w:name="_Toc333237797"/>
      <w:bookmarkStart w:id="1625" w:name="_Toc345513910"/>
      <w:bookmarkStart w:id="1626" w:name="_Toc339020104"/>
      <w:bookmarkStart w:id="1627" w:name="_Toc331512907"/>
      <w:bookmarkStart w:id="1628" w:name="_Toc349143598"/>
      <w:bookmarkStart w:id="1629" w:name="_Toc365967081"/>
      <w:bookmarkStart w:id="1630" w:name="_Toc341348347"/>
      <w:bookmarkStart w:id="1631" w:name="_Toc339020024"/>
      <w:bookmarkStart w:id="1632" w:name="_Toc342296769"/>
      <w:bookmarkStart w:id="1633" w:name="_Toc333935696"/>
      <w:bookmarkStart w:id="1634" w:name="_Toc339441096"/>
      <w:bookmarkStart w:id="1635" w:name="_Toc349127635"/>
      <w:bookmarkStart w:id="1636" w:name="_Toc342060383"/>
      <w:bookmarkStart w:id="1637" w:name="_Toc2940"/>
      <w:r>
        <w:rPr>
          <w:rFonts w:hint="eastAsia"/>
          <w:color w:val="000000" w:themeColor="text1"/>
          <w:highlight w:val="none"/>
        </w:rPr>
        <w:t xml:space="preserve">第四部分  </w:t>
      </w:r>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Start w:id="1638" w:name="_Hlt97188170"/>
      <w:bookmarkEnd w:id="1638"/>
      <w:r>
        <w:rPr>
          <w:rFonts w:hint="eastAsia"/>
          <w:color w:val="000000" w:themeColor="text1"/>
          <w:highlight w:val="none"/>
        </w:rPr>
        <w:t>采购项目合同（参考范本）</w:t>
      </w:r>
      <w:bookmarkEnd w:id="1637"/>
    </w:p>
    <w:p>
      <w:pPr>
        <w:rPr>
          <w:bCs/>
          <w:color w:val="000000" w:themeColor="text1"/>
          <w:highlight w:val="none"/>
        </w:rPr>
      </w:pPr>
    </w:p>
    <w:p>
      <w:pPr>
        <w:jc w:val="center"/>
        <w:rPr>
          <w:rFonts w:hint="eastAsia" w:ascii="宋体" w:hAnsi="宋体"/>
          <w:b/>
          <w:color w:val="000000" w:themeColor="text1"/>
          <w:sz w:val="30"/>
          <w:szCs w:val="30"/>
          <w:highlight w:val="none"/>
        </w:rPr>
      </w:pPr>
    </w:p>
    <w:p>
      <w:pPr>
        <w:jc w:val="center"/>
        <w:rPr>
          <w:rFonts w:hint="eastAsia" w:ascii="宋体" w:hAnsi="宋体"/>
          <w:b/>
          <w:color w:val="000000" w:themeColor="text1"/>
          <w:sz w:val="36"/>
          <w:szCs w:val="36"/>
          <w:highlight w:val="none"/>
        </w:rPr>
      </w:pPr>
    </w:p>
    <w:p>
      <w:pPr>
        <w:pStyle w:val="54"/>
        <w:rPr>
          <w:rFonts w:hint="eastAsia" w:ascii="宋体" w:hAnsi="宋体"/>
          <w:b/>
          <w:color w:val="000000" w:themeColor="text1"/>
          <w:sz w:val="36"/>
          <w:szCs w:val="36"/>
          <w:highlight w:val="none"/>
        </w:rPr>
      </w:pPr>
    </w:p>
    <w:p>
      <w:pPr>
        <w:pStyle w:val="54"/>
        <w:rPr>
          <w:rFonts w:hint="eastAsia" w:ascii="宋体" w:hAnsi="宋体"/>
          <w:b/>
          <w:color w:val="000000" w:themeColor="text1"/>
          <w:sz w:val="36"/>
          <w:szCs w:val="36"/>
          <w:highlight w:val="none"/>
        </w:rPr>
      </w:pPr>
    </w:p>
    <w:p>
      <w:pPr>
        <w:pStyle w:val="54"/>
        <w:rPr>
          <w:rFonts w:hint="eastAsia" w:ascii="宋体" w:hAnsi="宋体"/>
          <w:b/>
          <w:color w:val="000000" w:themeColor="text1"/>
          <w:sz w:val="36"/>
          <w:szCs w:val="36"/>
          <w:highlight w:val="none"/>
        </w:rPr>
      </w:pPr>
    </w:p>
    <w:p>
      <w:pPr>
        <w:pStyle w:val="54"/>
        <w:rPr>
          <w:rFonts w:hint="eastAsia" w:ascii="宋体" w:hAnsi="宋体"/>
          <w:b/>
          <w:color w:val="000000" w:themeColor="text1"/>
          <w:sz w:val="36"/>
          <w:szCs w:val="36"/>
          <w:highlight w:val="none"/>
        </w:rPr>
      </w:pPr>
    </w:p>
    <w:p>
      <w:pPr>
        <w:jc w:val="center"/>
        <w:rPr>
          <w:rFonts w:hint="eastAsia" w:ascii="宋体" w:hAnsi="宋体"/>
          <w:b/>
          <w:color w:val="000000" w:themeColor="text1"/>
          <w:sz w:val="72"/>
          <w:szCs w:val="72"/>
          <w:highlight w:val="none"/>
        </w:rPr>
      </w:pPr>
      <w:r>
        <w:rPr>
          <w:rFonts w:hint="eastAsia" w:ascii="宋体" w:hAnsi="宋体"/>
          <w:b/>
          <w:color w:val="000000" w:themeColor="text1"/>
          <w:sz w:val="72"/>
          <w:szCs w:val="72"/>
          <w:highlight w:val="none"/>
        </w:rPr>
        <w:t>合 同 书</w:t>
      </w: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采购编号：</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项目名称：</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Cs w:val="21"/>
          <w:highlight w:val="none"/>
        </w:rPr>
      </w:pPr>
      <w:r>
        <w:rPr>
          <w:rFonts w:hint="eastAsia" w:ascii="宋体" w:hAnsi="宋体"/>
          <w:b/>
          <w:color w:val="000000" w:themeColor="text1"/>
          <w:szCs w:val="21"/>
          <w:highlight w:val="none"/>
        </w:rPr>
        <w:t>注：本合同仅为合同草案文本，合同签订双方可根据项目的具体要求进行修订和细化。</w:t>
      </w:r>
    </w:p>
    <w:p>
      <w:pPr>
        <w:ind w:firstLine="5670" w:firstLineChars="2700"/>
        <w:rPr>
          <w:rFonts w:hint="eastAsia" w:ascii="宋体" w:hAnsi="宋体"/>
          <w:color w:val="000000" w:themeColor="text1"/>
          <w:szCs w:val="21"/>
          <w:highlight w:val="none"/>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甲    方：</w:t>
      </w:r>
      <w:r>
        <w:rPr>
          <w:rFonts w:hint="eastAsia" w:ascii="宋体" w:hAnsi="宋体"/>
          <w:b/>
          <w:color w:val="000000" w:themeColor="text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乙    方：</w:t>
      </w:r>
      <w:r>
        <w:rPr>
          <w:rFonts w:hint="eastAsia" w:ascii="宋体" w:hAnsi="宋体"/>
          <w:b/>
          <w:color w:val="000000" w:themeColor="text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color w:val="000000" w:themeColor="text1"/>
          <w:szCs w:val="21"/>
          <w:highlight w:val="none"/>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ind w:firstLine="55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根据 </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项目（采购编号：</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）的采购结果</w:t>
      </w:r>
      <w:r>
        <w:rPr>
          <w:rFonts w:hint="eastAsia" w:ascii="宋体" w:hAnsi="宋体"/>
          <w:color w:val="000000" w:themeColor="text1"/>
          <w:szCs w:val="21"/>
          <w:highlight w:val="none"/>
          <w:lang w:val="en-US" w:eastAsia="zh-CN"/>
        </w:rPr>
        <w:t>及</w:t>
      </w:r>
      <w:r>
        <w:rPr>
          <w:rFonts w:hint="eastAsia" w:ascii="宋体" w:hAnsi="宋体" w:cs="微软雅黑"/>
          <w:color w:val="000000" w:themeColor="text1"/>
          <w:szCs w:val="21"/>
          <w:highlight w:val="none"/>
        </w:rPr>
        <w:t>招标投标文件中的相关约定</w:t>
      </w:r>
      <w:r>
        <w:rPr>
          <w:rFonts w:hint="eastAsia" w:ascii="宋体" w:hAnsi="宋体"/>
          <w:color w:val="000000" w:themeColor="text1"/>
          <w:szCs w:val="21"/>
          <w:highlight w:val="none"/>
        </w:rPr>
        <w:t>，按照《中华人民共和国政府采购法》、《中华人民共和国民法典》的规定，</w:t>
      </w:r>
      <w:r>
        <w:rPr>
          <w:rFonts w:hint="eastAsia" w:ascii="宋体" w:hAnsi="宋体"/>
          <w:color w:val="000000" w:themeColor="text1"/>
          <w:kern w:val="28"/>
          <w:szCs w:val="21"/>
          <w:highlight w:val="none"/>
        </w:rPr>
        <w:t>经双方协商，</w:t>
      </w:r>
      <w:r>
        <w:rPr>
          <w:rFonts w:hint="eastAsia" w:ascii="宋体" w:hAnsi="宋体"/>
          <w:color w:val="000000" w:themeColor="text1"/>
          <w:szCs w:val="21"/>
          <w:highlight w:val="none"/>
        </w:rPr>
        <w:t>本着平等互利和诚实信用的原则，</w:t>
      </w:r>
      <w:r>
        <w:rPr>
          <w:rFonts w:hint="eastAsia" w:ascii="宋体" w:hAnsi="宋体"/>
          <w:color w:val="000000" w:themeColor="text1"/>
          <w:kern w:val="28"/>
          <w:szCs w:val="21"/>
          <w:highlight w:val="none"/>
        </w:rPr>
        <w:t>一致同意签订本合同如下。</w:t>
      </w:r>
    </w:p>
    <w:p>
      <w:pPr>
        <w:keepNext w:val="0"/>
        <w:keepLines w:val="0"/>
        <w:widowControl w:val="0"/>
        <w:tabs>
          <w:tab w:val="left" w:pos="630"/>
          <w:tab w:val="left" w:pos="96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一、采购标的、数量 </w:t>
      </w:r>
    </w:p>
    <w:tbl>
      <w:tblPr>
        <w:tblStyle w:val="47"/>
        <w:tblW w:w="80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155"/>
        <w:gridCol w:w="2363"/>
        <w:gridCol w:w="992"/>
        <w:gridCol w:w="1134"/>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序号</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采购标的</w:t>
            </w:r>
          </w:p>
        </w:tc>
        <w:tc>
          <w:tcPr>
            <w:tcW w:w="2363"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品牌、规格型号、配置（性能参数）</w:t>
            </w: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产地</w:t>
            </w: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数量</w:t>
            </w: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单价(元)</w:t>
            </w: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1</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2</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3</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8080" w:type="dxa"/>
            <w:gridSpan w:val="7"/>
            <w:tcBorders>
              <w:top w:val="single" w:color="auto" w:sz="4" w:space="0"/>
              <w:left w:val="single" w:color="auto" w:sz="8" w:space="0"/>
              <w:bottom w:val="single" w:color="auto" w:sz="4" w:space="0"/>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  合计总额：￥       元；    大写：         </w:t>
            </w:r>
          </w:p>
        </w:tc>
      </w:tr>
    </w:tbl>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合同总额包括乙方设计、安装、随机零配件、标配工具、运输保险、调试、培训、质保期服务、各项税费及合同实施过程中不可预见费用等。</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注：标的名称内容必须与投标文件中标的名称内容一致。</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二、合同金额</w:t>
      </w:r>
    </w:p>
    <w:p>
      <w:pPr>
        <w:pStyle w:val="24"/>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hAnsi="宋体"/>
          <w:color w:val="000000" w:themeColor="text1"/>
          <w:highlight w:val="none"/>
        </w:rPr>
      </w:pPr>
      <w:r>
        <w:rPr>
          <w:rFonts w:hint="eastAsia" w:hAnsi="宋体"/>
          <w:color w:val="000000" w:themeColor="text1"/>
          <w:highlight w:val="none"/>
        </w:rPr>
        <w:t>合同金额为（大写）：_________________元（￥_______________元）人民币。</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b/>
          <w:color w:val="000000" w:themeColor="text1"/>
          <w:szCs w:val="21"/>
          <w:highlight w:val="none"/>
        </w:rPr>
        <w:t>三、质量要求</w:t>
      </w: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b/>
          <w:color w:val="000000" w:themeColor="text1"/>
          <w:szCs w:val="21"/>
          <w:highlight w:val="none"/>
        </w:rPr>
        <w:t>四、</w:t>
      </w:r>
      <w:r>
        <w:rPr>
          <w:rFonts w:hint="eastAsia" w:ascii="宋体" w:hAnsi="宋体"/>
          <w:b/>
          <w:color w:val="000000" w:themeColor="text1"/>
          <w:szCs w:val="21"/>
          <w:highlight w:val="none"/>
          <w:lang w:eastAsia="zh-CN"/>
        </w:rPr>
        <w:t>完工</w:t>
      </w:r>
      <w:r>
        <w:rPr>
          <w:rFonts w:hint="eastAsia" w:ascii="宋体" w:hAnsi="宋体"/>
          <w:b/>
          <w:color w:val="000000" w:themeColor="text1"/>
          <w:szCs w:val="21"/>
          <w:highlight w:val="none"/>
        </w:rPr>
        <w:t>期、</w:t>
      </w:r>
      <w:r>
        <w:rPr>
          <w:rFonts w:hint="eastAsia" w:ascii="宋体" w:hAnsi="宋体"/>
          <w:b/>
          <w:color w:val="000000" w:themeColor="text1"/>
          <w:szCs w:val="21"/>
          <w:highlight w:val="none"/>
          <w:lang w:eastAsia="zh-CN"/>
        </w:rPr>
        <w:t>完工</w:t>
      </w:r>
      <w:r>
        <w:rPr>
          <w:rFonts w:hint="eastAsia" w:ascii="宋体" w:hAnsi="宋体"/>
          <w:b/>
          <w:color w:val="000000" w:themeColor="text1"/>
          <w:szCs w:val="21"/>
          <w:highlight w:val="none"/>
        </w:rPr>
        <w:t>方式及</w:t>
      </w:r>
      <w:r>
        <w:rPr>
          <w:rFonts w:hint="eastAsia" w:ascii="宋体" w:hAnsi="宋体"/>
          <w:b/>
          <w:color w:val="000000" w:themeColor="text1"/>
          <w:szCs w:val="21"/>
          <w:highlight w:val="none"/>
          <w:lang w:eastAsia="zh-CN"/>
        </w:rPr>
        <w:t>完工</w:t>
      </w:r>
      <w:r>
        <w:rPr>
          <w:rFonts w:hint="eastAsia" w:ascii="宋体" w:hAnsi="宋体"/>
          <w:b/>
          <w:color w:val="000000" w:themeColor="text1"/>
          <w:szCs w:val="21"/>
          <w:highlight w:val="none"/>
        </w:rPr>
        <w:t>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五、付款方式</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ind w:left="210" w:hanging="210" w:hangingChars="100"/>
        <w:textAlignment w:val="auto"/>
        <w:rPr>
          <w:rFonts w:hint="eastAsia" w:ascii="宋体" w:hAnsi="宋体" w:cs="Tahoma"/>
          <w:color w:val="000000" w:themeColor="text1"/>
          <w:szCs w:val="21"/>
          <w:highlight w:val="none"/>
        </w:rPr>
      </w:pPr>
      <w:r>
        <w:rPr>
          <w:rFonts w:hint="eastAsia" w:ascii="宋体" w:hAnsi="宋体"/>
          <w:color w:val="000000" w:themeColor="text1"/>
          <w:szCs w:val="21"/>
          <w:highlight w:val="none"/>
        </w:rPr>
        <w:t xml:space="preserve"> </w:t>
      </w:r>
      <w:r>
        <w:rPr>
          <w:rFonts w:hint="eastAsia" w:ascii="宋体" w:hAnsi="宋体"/>
          <w:b/>
          <w:color w:val="000000" w:themeColor="text1"/>
          <w:szCs w:val="21"/>
          <w:highlight w:val="none"/>
        </w:rPr>
        <w:t>六、质保期及售后服务要求</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s="Tahoma"/>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ind w:left="420" w:hanging="420" w:hangingChars="199"/>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七、安装与调试</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bCs/>
          <w:color w:val="000000" w:themeColor="text1"/>
          <w:szCs w:val="21"/>
          <w:highlight w:val="none"/>
        </w:rPr>
      </w:pPr>
      <w:r>
        <w:rPr>
          <w:rFonts w:hint="eastAsia" w:ascii="宋体" w:hAnsi="宋体"/>
          <w:b/>
          <w:bCs/>
          <w:color w:val="000000" w:themeColor="text1"/>
          <w:szCs w:val="21"/>
          <w:highlight w:val="none"/>
        </w:rPr>
        <w:t>八、验收</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bCs/>
          <w:color w:val="000000" w:themeColor="text1"/>
          <w:szCs w:val="21"/>
          <w:highlight w:val="none"/>
        </w:rPr>
        <w:t>九、</w:t>
      </w:r>
      <w:r>
        <w:rPr>
          <w:rFonts w:hint="eastAsia" w:ascii="宋体" w:hAnsi="宋体"/>
          <w:b/>
          <w:color w:val="000000" w:themeColor="text1"/>
          <w:szCs w:val="21"/>
          <w:highlight w:val="none"/>
        </w:rPr>
        <w:t>违约责任与赔偿损失</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1、乙方交付的货物、工程/提供的服务不符合本合同规定的，甲方有权拒收，并且乙方须向甲方支付本合同总价5%的违约金。</w:t>
      </w:r>
    </w:p>
    <w:p>
      <w:pPr>
        <w:keepNext w:val="0"/>
        <w:keepLines w:val="0"/>
        <w:widowControl w:val="0"/>
        <w:tabs>
          <w:tab w:val="left" w:pos="720"/>
          <w:tab w:val="left" w:pos="900"/>
        </w:tabs>
        <w:kinsoku/>
        <w:wordWrap/>
        <w:overflowPunct/>
        <w:topLinePunct w:val="0"/>
        <w:autoSpaceDE/>
        <w:autoSpaceDN/>
        <w:bidi w:val="0"/>
        <w:adjustRightInd/>
        <w:snapToGrid/>
        <w:spacing w:line="360" w:lineRule="auto"/>
        <w:ind w:right="21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2、乙方未能按本合同规定的交货时间交付货物的/提供服务，从逾期之日起每日按本合同总价3‰的数额向甲方支付违约金，违约金累计总额不超过合同总价的5%；逾期半个月以上的，甲方有权终止合同，由此造成的甲方经济损失由乙方承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3、甲方无正当理由拒收货物/接受服务，到期拒付货物/服务款项的，甲方向乙方偿付本合同总的5%的违约金。甲方人逾期付款，则每日按本合同总价的3‰向乙方偿付违约金，违约金累计总额不超过欠款总价的5%。</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Cs/>
          <w:color w:val="000000" w:themeColor="text1"/>
          <w:szCs w:val="21"/>
          <w:highlight w:val="none"/>
        </w:rPr>
      </w:pPr>
      <w:r>
        <w:rPr>
          <w:rFonts w:hint="eastAsia" w:ascii="宋体" w:hAnsi="宋体"/>
          <w:bCs/>
          <w:color w:val="000000" w:themeColor="text1"/>
          <w:szCs w:val="21"/>
          <w:highlight w:val="none"/>
        </w:rPr>
        <w:t>4、其它违约责任按《中华人民共和国民法典》处理。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十、争议的解决</w:t>
      </w:r>
    </w:p>
    <w:p>
      <w:pPr>
        <w:keepNext w:val="0"/>
        <w:keepLines w:val="0"/>
        <w:widowControl w:val="0"/>
        <w:tabs>
          <w:tab w:val="left" w:pos="824"/>
        </w:tabs>
        <w:kinsoku/>
        <w:wordWrap/>
        <w:overflowPunct/>
        <w:topLinePunct w:val="0"/>
        <w:autoSpaceDE/>
        <w:autoSpaceDN/>
        <w:bidi w:val="0"/>
        <w:adjustRightInd/>
        <w:snapToGrid/>
        <w:spacing w:line="360" w:lineRule="auto"/>
        <w:ind w:firstLine="420" w:firstLineChars="200"/>
        <w:textAlignment w:val="auto"/>
        <w:rPr>
          <w:rFonts w:hint="eastAsia" w:ascii="宋体" w:hAnsi="宋体"/>
          <w:bCs/>
          <w:color w:val="000000" w:themeColor="text1"/>
          <w:szCs w:val="21"/>
          <w:highlight w:val="none"/>
        </w:rPr>
      </w:pPr>
      <w:r>
        <w:rPr>
          <w:rFonts w:hint="eastAsia" w:ascii="宋体" w:hAnsi="宋体"/>
          <w:color w:val="000000" w:themeColor="text1"/>
          <w:szCs w:val="21"/>
          <w:highlight w:val="none"/>
        </w:rPr>
        <w:t>合同执行过程中发生的任何争议，如双方不能通过友好协商解决，按相关法律法规处理。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十一、不可抗力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十二、税费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在中国境内、外发生的与本合同执行有关的一切税费均由乙方负担。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十三、其它</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color w:val="000000" w:themeColor="text1"/>
          <w:szCs w:val="21"/>
          <w:highlight w:val="none"/>
        </w:rPr>
        <w:t>1、本合同所有附件、招标文件、投标文件、中标通知书通知书均为合同的有效组成部分，与本合同具有同等法律效力。</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bCs/>
          <w:color w:val="000000" w:themeColor="text1"/>
          <w:szCs w:val="21"/>
          <w:highlight w:val="none"/>
        </w:rPr>
        <w:t>2、</w:t>
      </w:r>
      <w:r>
        <w:rPr>
          <w:rFonts w:hint="eastAsia" w:ascii="宋体" w:hAnsi="宋体"/>
          <w:color w:val="000000" w:themeColor="text1"/>
          <w:szCs w:val="21"/>
          <w:highlight w:val="none"/>
        </w:rPr>
        <w:t>在执行本合同的过程中，所有经双方签署确认的文件（包括会议纪要、补充协议、往来信函）即成为本合同的有效组成部分。</w:t>
      </w:r>
    </w:p>
    <w:p>
      <w:pPr>
        <w:keepNext w:val="0"/>
        <w:keepLines w:val="0"/>
        <w:widowControl w:val="0"/>
        <w:kinsoku/>
        <w:wordWrap/>
        <w:overflowPunct/>
        <w:topLinePunct w:val="0"/>
        <w:autoSpaceDE/>
        <w:autoSpaceDN/>
        <w:bidi w:val="0"/>
        <w:adjustRightInd/>
        <w:snapToGrid/>
        <w:spacing w:line="360" w:lineRule="auto"/>
        <w:ind w:left="630" w:hanging="630" w:hangingChars="3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3、如一方地址、电话、传真号码有变更，应在变更当日内书面通知对方，否则应承担相应责任。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4、除甲方事先书面同意外，乙方不得部分或全部转让其应履行的合同项下的义务。</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十四、合同生效：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1、本合同在甲乙双方法人代表或其授权代表签字盖章后生效。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2、合同一式</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份。</w:t>
      </w:r>
    </w:p>
    <w:p>
      <w:pPr>
        <w:tabs>
          <w:tab w:val="left" w:pos="1004"/>
        </w:tabs>
        <w:spacing w:line="360" w:lineRule="exact"/>
        <w:rPr>
          <w:rFonts w:ascii="宋体" w:hAnsi="宋体"/>
          <w:bCs/>
          <w:color w:val="000000" w:themeColor="text1"/>
          <w:szCs w:val="21"/>
          <w:highlight w:val="none"/>
        </w:rPr>
      </w:pPr>
      <w:r>
        <w:rPr>
          <w:rFonts w:hint="eastAsia" w:ascii="宋体" w:hAnsi="宋体"/>
          <w:color w:val="000000" w:themeColor="text1"/>
          <w:szCs w:val="21"/>
          <w:highlight w:val="none"/>
          <w:lang w:val="en-US" w:eastAsia="zh-CN"/>
        </w:rPr>
        <w:t>3</w:t>
      </w:r>
      <w:r>
        <w:rPr>
          <w:rFonts w:hint="eastAsia" w:ascii="宋体" w:hAnsi="宋体"/>
          <w:color w:val="000000" w:themeColor="text1"/>
          <w:szCs w:val="21"/>
          <w:highlight w:val="none"/>
        </w:rPr>
        <w:t>、</w:t>
      </w:r>
      <w:r>
        <w:rPr>
          <w:rFonts w:hint="eastAsia" w:ascii="宋体" w:hAnsi="宋体"/>
          <w:bCs/>
          <w:color w:val="000000" w:themeColor="text1"/>
          <w:szCs w:val="21"/>
          <w:highlight w:val="none"/>
        </w:rPr>
        <w:t>本项目合同订立后，应提供</w:t>
      </w:r>
      <w:r>
        <w:rPr>
          <w:rFonts w:hint="eastAsia" w:ascii="宋体" w:hAnsi="宋体"/>
          <w:bCs/>
          <w:color w:val="000000" w:themeColor="text1"/>
          <w:szCs w:val="21"/>
          <w:highlight w:val="none"/>
          <w:lang w:val="en-US" w:eastAsia="zh-CN"/>
        </w:rPr>
        <w:t>一份</w:t>
      </w:r>
      <w:r>
        <w:rPr>
          <w:rFonts w:hint="eastAsia" w:ascii="宋体" w:hAnsi="宋体"/>
          <w:bCs/>
          <w:color w:val="000000" w:themeColor="text1"/>
          <w:szCs w:val="21"/>
          <w:highlight w:val="none"/>
        </w:rPr>
        <w:t>至</w:t>
      </w:r>
      <w:r>
        <w:rPr>
          <w:rFonts w:hint="eastAsia" w:ascii="宋体" w:hAnsi="宋体"/>
          <w:bCs/>
          <w:color w:val="000000" w:themeColor="text1"/>
          <w:szCs w:val="21"/>
          <w:highlight w:val="none"/>
          <w:u w:val="single"/>
        </w:rPr>
        <w:t>广东业信采购招标有限公司</w:t>
      </w:r>
      <w:r>
        <w:rPr>
          <w:rFonts w:hint="eastAsia" w:ascii="宋体" w:hAnsi="宋体"/>
          <w:bCs/>
          <w:color w:val="000000" w:themeColor="text1"/>
          <w:szCs w:val="21"/>
          <w:highlight w:val="none"/>
        </w:rPr>
        <w:t>备案；</w:t>
      </w:r>
      <w:r>
        <w:rPr>
          <w:rFonts w:ascii="宋体" w:hAnsi="宋体"/>
          <w:bCs/>
          <w:color w:val="000000" w:themeColor="text1"/>
          <w:szCs w:val="21"/>
          <w:highlight w:val="none"/>
        </w:rPr>
        <w:t xml:space="preserve"> </w:t>
      </w:r>
    </w:p>
    <w:p>
      <w:pPr>
        <w:pStyle w:val="54"/>
        <w:rPr>
          <w:rFonts w:ascii="宋体" w:hAnsi="宋体"/>
          <w:bCs/>
          <w:color w:val="000000" w:themeColor="text1"/>
          <w:szCs w:val="21"/>
          <w:highlight w:val="none"/>
        </w:rPr>
      </w:pPr>
    </w:p>
    <w:p>
      <w:pPr>
        <w:pStyle w:val="54"/>
        <w:rPr>
          <w:rFonts w:ascii="宋体" w:hAnsi="宋体"/>
          <w:bCs/>
          <w:color w:val="000000" w:themeColor="text1"/>
          <w:szCs w:val="21"/>
          <w:highlight w:val="none"/>
        </w:rPr>
      </w:pPr>
    </w:p>
    <w:p>
      <w:pPr>
        <w:pStyle w:val="54"/>
        <w:rPr>
          <w:rFonts w:hint="eastAsia"/>
          <w:color w:val="000000" w:themeColor="text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甲方（盖章）：                         乙方（盖章）：</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代表：                                代表：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签定地点：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签定日期：   年   月  日              签定日期：    年   月   日    </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开户名称：</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银行帐号：</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color w:val="000000" w:themeColor="text1"/>
          <w:highlight w:val="none"/>
        </w:rPr>
      </w:pPr>
      <w:r>
        <w:rPr>
          <w:rFonts w:hint="eastAsia" w:ascii="宋体" w:hAnsi="宋体"/>
          <w:color w:val="000000" w:themeColor="text1"/>
          <w:szCs w:val="21"/>
          <w:highlight w:val="none"/>
        </w:rPr>
        <w:t>开 户 行：</w:t>
      </w:r>
    </w:p>
    <w:p>
      <w:pPr>
        <w:tabs>
          <w:tab w:val="left" w:pos="1004"/>
        </w:tabs>
        <w:spacing w:line="440" w:lineRule="exact"/>
        <w:rPr>
          <w:rFonts w:ascii="宋体" w:hAnsi="宋体"/>
          <w:bCs/>
          <w:color w:val="000000" w:themeColor="text1"/>
          <w:szCs w:val="21"/>
          <w:highlight w:val="none"/>
        </w:rPr>
      </w:pPr>
    </w:p>
    <w:p>
      <w:pPr>
        <w:tabs>
          <w:tab w:val="left" w:pos="1004"/>
        </w:tabs>
        <w:spacing w:line="440" w:lineRule="exact"/>
        <w:ind w:right="31" w:rightChars="15"/>
        <w:rPr>
          <w:rFonts w:ascii="宋体" w:hAnsi="宋体"/>
          <w:b/>
          <w:bCs/>
          <w:color w:val="000000" w:themeColor="text1"/>
          <w:szCs w:val="21"/>
          <w:highlight w:val="none"/>
        </w:rPr>
        <w:sectPr>
          <w:pgSz w:w="11906" w:h="16838"/>
          <w:pgMar w:top="1474" w:right="1418" w:bottom="1474" w:left="1418" w:header="851" w:footer="851" w:gutter="0"/>
          <w:cols w:space="720" w:num="1"/>
          <w:titlePg/>
          <w:docGrid w:linePitch="312" w:charSpace="0"/>
        </w:sectPr>
      </w:pPr>
    </w:p>
    <w:p>
      <w:pPr>
        <w:pStyle w:val="3"/>
        <w:numPr>
          <w:ilvl w:val="0"/>
          <w:numId w:val="0"/>
        </w:numPr>
        <w:spacing w:beforeLines="0"/>
        <w:rPr>
          <w:color w:val="000000" w:themeColor="text1"/>
          <w:highlight w:val="none"/>
        </w:rPr>
      </w:pPr>
      <w:bookmarkStart w:id="1639" w:name="_Toc339020105"/>
      <w:bookmarkStart w:id="1640" w:name="_Toc332270356"/>
      <w:bookmarkStart w:id="1641" w:name="_Toc349127636"/>
      <w:bookmarkStart w:id="1642" w:name="_Toc339020243"/>
      <w:bookmarkStart w:id="1643" w:name="_Toc366072539"/>
      <w:bookmarkStart w:id="1644" w:name="_Toc331684048"/>
      <w:bookmarkStart w:id="1645" w:name="_Toc336681590"/>
      <w:bookmarkStart w:id="1646" w:name="_Toc336681945"/>
      <w:bookmarkStart w:id="1647" w:name="_Toc350756460"/>
      <w:bookmarkStart w:id="1648" w:name="_Toc332206718"/>
      <w:bookmarkStart w:id="1649" w:name="_Toc333237687"/>
      <w:bookmarkStart w:id="1650" w:name="_Toc342296770"/>
      <w:bookmarkStart w:id="1651" w:name="_Toc349143599"/>
      <w:bookmarkStart w:id="1652" w:name="_Toc342060384"/>
      <w:bookmarkStart w:id="1653" w:name="_Toc500861025"/>
      <w:bookmarkStart w:id="1654" w:name="_Toc350438759"/>
      <w:bookmarkStart w:id="1655" w:name="_Toc365985188"/>
      <w:bookmarkStart w:id="1656" w:name="_Toc333935356"/>
      <w:bookmarkStart w:id="1657" w:name="_Toc337632368"/>
      <w:bookmarkStart w:id="1658" w:name="_Toc345513911"/>
      <w:bookmarkStart w:id="1659" w:name="_Toc339441097"/>
      <w:bookmarkStart w:id="1660" w:name="_Toc333935697"/>
      <w:bookmarkStart w:id="1661" w:name="_Toc330459995"/>
      <w:bookmarkStart w:id="1662" w:name="_Toc339019899"/>
      <w:bookmarkStart w:id="1663" w:name="_Toc340677080"/>
      <w:bookmarkStart w:id="1664" w:name="_Toc340672879"/>
      <w:bookmarkStart w:id="1665" w:name="_Toc333237798"/>
      <w:bookmarkStart w:id="1666" w:name="_Toc333238643"/>
      <w:bookmarkStart w:id="1667" w:name="_Toc491658678"/>
      <w:bookmarkStart w:id="1668" w:name="_Toc339362310"/>
      <w:bookmarkStart w:id="1669" w:name="_Toc331512908"/>
      <w:bookmarkStart w:id="1670" w:name="_Toc365967082"/>
      <w:bookmarkStart w:id="1671" w:name="_Toc339020025"/>
      <w:bookmarkStart w:id="1672" w:name="_Toc17039"/>
      <w:bookmarkStart w:id="1673" w:name="_Toc340507452"/>
      <w:bookmarkStart w:id="1674" w:name="_Toc341348348"/>
      <w:r>
        <w:rPr>
          <w:rFonts w:hint="eastAsia"/>
          <w:color w:val="000000" w:themeColor="text1"/>
          <w:highlight w:val="none"/>
        </w:rPr>
        <w:t>第五部分</w:t>
      </w:r>
      <w:bookmarkStart w:id="1675" w:name="_Hlt97188172"/>
      <w:bookmarkEnd w:id="1675"/>
      <w:r>
        <w:rPr>
          <w:rFonts w:hint="eastAsia"/>
          <w:color w:val="000000" w:themeColor="text1"/>
          <w:highlight w:val="none"/>
        </w:rPr>
        <w:t xml:space="preserve"> </w:t>
      </w:r>
      <w:r>
        <w:rPr>
          <w:color w:val="000000" w:themeColor="text1"/>
          <w:highlight w:val="none"/>
        </w:rPr>
        <w:t xml:space="preserve"> </w:t>
      </w:r>
      <w:r>
        <w:rPr>
          <w:rFonts w:hint="eastAsia"/>
          <w:color w:val="000000" w:themeColor="text1"/>
          <w:highlight w:val="none"/>
        </w:rPr>
        <w:t>投标文件格式</w:t>
      </w:r>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Start w:id="1676" w:name="_Hlt21938933"/>
      <w:bookmarkEnd w:id="1676"/>
    </w:p>
    <w:p>
      <w:pPr>
        <w:pStyle w:val="4"/>
        <w:numPr>
          <w:ilvl w:val="0"/>
          <w:numId w:val="0"/>
        </w:numPr>
        <w:rPr>
          <w:color w:val="000000" w:themeColor="text1"/>
          <w:sz w:val="24"/>
          <w:highlight w:val="none"/>
        </w:rPr>
      </w:pPr>
      <w:bookmarkStart w:id="1677" w:name="_Toc339020244"/>
      <w:bookmarkStart w:id="1678" w:name="_Toc333237688"/>
      <w:bookmarkStart w:id="1679" w:name="_Toc339019900"/>
      <w:bookmarkStart w:id="1680" w:name="_Toc350438760"/>
      <w:bookmarkStart w:id="1681" w:name="_Toc331684049"/>
      <w:bookmarkStart w:id="1682" w:name="_Toc340677081"/>
      <w:bookmarkStart w:id="1683" w:name="_Toc339020026"/>
      <w:bookmarkStart w:id="1684" w:name="_Toc332270357"/>
      <w:bookmarkStart w:id="1685" w:name="_Toc350756461"/>
      <w:bookmarkStart w:id="1686" w:name="_Toc349143600"/>
      <w:bookmarkStart w:id="1687" w:name="_Toc340507453"/>
      <w:bookmarkStart w:id="1688" w:name="_Toc339441098"/>
      <w:bookmarkStart w:id="1689" w:name="_Toc366072540"/>
      <w:bookmarkStart w:id="1690" w:name="_Toc365985189"/>
      <w:bookmarkStart w:id="1691" w:name="_Toc337632369"/>
      <w:bookmarkStart w:id="1692" w:name="_Toc336681946"/>
      <w:bookmarkStart w:id="1693" w:name="_Toc339362311"/>
      <w:bookmarkStart w:id="1694" w:name="_Toc332206719"/>
      <w:bookmarkStart w:id="1695" w:name="_Toc342060385"/>
      <w:bookmarkStart w:id="1696" w:name="_Toc340672880"/>
      <w:bookmarkStart w:id="1697" w:name="_Toc333237799"/>
      <w:bookmarkStart w:id="1698" w:name="_Toc333935357"/>
      <w:bookmarkStart w:id="1699" w:name="_Toc336681591"/>
      <w:bookmarkStart w:id="1700" w:name="_Toc365967083"/>
      <w:bookmarkStart w:id="1701" w:name="_Toc333238644"/>
      <w:bookmarkStart w:id="1702" w:name="_Toc345513912"/>
      <w:bookmarkStart w:id="1703" w:name="_Toc330459996"/>
      <w:bookmarkStart w:id="1704" w:name="_Toc339020106"/>
      <w:bookmarkStart w:id="1705" w:name="_Toc349127637"/>
      <w:bookmarkStart w:id="1706" w:name="_Toc333935698"/>
      <w:bookmarkStart w:id="1707" w:name="_Toc331512909"/>
      <w:bookmarkStart w:id="1708" w:name="_Toc341348349"/>
      <w:bookmarkStart w:id="1709" w:name="_Toc342296771"/>
      <w:bookmarkStart w:id="1710" w:name="_Toc22322"/>
      <w:bookmarkStart w:id="1711" w:name="_Hlk534184453"/>
      <w:r>
        <w:rPr>
          <w:rFonts w:hint="eastAsia"/>
          <w:color w:val="000000" w:themeColor="text1"/>
          <w:sz w:val="24"/>
          <w:highlight w:val="none"/>
        </w:rPr>
        <w:t>资格审查封面格式</w:t>
      </w:r>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p>
    <w:p>
      <w:pPr>
        <w:pStyle w:val="5"/>
        <w:rPr>
          <w:rFonts w:hAnsi="宋体"/>
          <w:bCs/>
          <w:color w:val="000000" w:themeColor="text1"/>
          <w:sz w:val="21"/>
          <w:highlight w:val="none"/>
        </w:rPr>
      </w:pP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 xml:space="preserve">1、投标内容应当编有目录、页码，按页码排序并装订成册。  </w:t>
      </w:r>
    </w:p>
    <w:p>
      <w:pPr>
        <w:pStyle w:val="5"/>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5"/>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（资格审查文件）</w:t>
      </w: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440" w:lineRule="exact"/>
        <w:jc w:val="center"/>
        <w:rPr>
          <w:rFonts w:hAnsi="宋体"/>
          <w:bCs/>
          <w:color w:val="000000" w:themeColor="text1"/>
          <w:sz w:val="21"/>
          <w:highlight w:val="none"/>
        </w:rPr>
      </w:pPr>
    </w:p>
    <w:p>
      <w:pPr>
        <w:pStyle w:val="5"/>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5"/>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pStyle w:val="4"/>
        <w:numPr>
          <w:ilvl w:val="7"/>
          <w:numId w:val="6"/>
        </w:numPr>
        <w:tabs>
          <w:tab w:val="clear" w:pos="720"/>
        </w:tabs>
        <w:spacing w:before="240" w:after="240" w:line="360" w:lineRule="exact"/>
        <w:ind w:left="0" w:firstLine="0"/>
        <w:rPr>
          <w:color w:val="000000" w:themeColor="text1"/>
          <w:sz w:val="24"/>
          <w:highlight w:val="none"/>
        </w:rPr>
      </w:pPr>
      <w:bookmarkStart w:id="1712" w:name="_Toc30307"/>
      <w:bookmarkStart w:id="1713" w:name="_Toc272497428"/>
      <w:bookmarkStart w:id="1714" w:name="_Toc268004451"/>
      <w:r>
        <w:rPr>
          <w:rFonts w:hint="eastAsia"/>
          <w:color w:val="000000" w:themeColor="text1"/>
          <w:sz w:val="24"/>
          <w:highlight w:val="none"/>
        </w:rPr>
        <w:t xml:space="preserve">  </w:t>
      </w:r>
      <w:bookmarkStart w:id="1715" w:name="_Toc6758"/>
      <w:r>
        <w:rPr>
          <w:rFonts w:hint="eastAsia"/>
          <w:color w:val="000000" w:themeColor="text1"/>
          <w:sz w:val="24"/>
          <w:highlight w:val="none"/>
        </w:rPr>
        <w:t>自查表</w:t>
      </w:r>
      <w:bookmarkEnd w:id="1712"/>
      <w:bookmarkEnd w:id="1715"/>
    </w:p>
    <w:bookmarkEnd w:id="1713"/>
    <w:bookmarkEnd w:id="1714"/>
    <w:p>
      <w:pPr>
        <w:pStyle w:val="4"/>
        <w:keepLines w:val="0"/>
        <w:numPr>
          <w:ilvl w:val="0"/>
          <w:numId w:val="0"/>
        </w:numPr>
        <w:tabs>
          <w:tab w:val="left" w:pos="4320"/>
        </w:tabs>
        <w:spacing w:before="240" w:after="60" w:line="360" w:lineRule="exact"/>
        <w:rPr>
          <w:rFonts w:ascii="宋体"/>
          <w:b/>
          <w:bCs w:val="0"/>
          <w:color w:val="000000" w:themeColor="text1"/>
          <w:szCs w:val="21"/>
          <w:highlight w:val="none"/>
        </w:rPr>
      </w:pPr>
      <w:r>
        <w:rPr>
          <w:rFonts w:hint="eastAsia" w:ascii="宋体"/>
          <w:b/>
          <w:bCs w:val="0"/>
          <w:color w:val="000000" w:themeColor="text1"/>
          <w:szCs w:val="21"/>
          <w:highlight w:val="none"/>
        </w:rPr>
        <w:t xml:space="preserve"> </w:t>
      </w:r>
      <w:bookmarkStart w:id="1716" w:name="_Toc357"/>
      <w:r>
        <w:rPr>
          <w:rFonts w:hint="eastAsia" w:ascii="宋体"/>
          <w:b/>
          <w:bCs w:val="0"/>
          <w:color w:val="000000" w:themeColor="text1"/>
          <w:szCs w:val="21"/>
          <w:highlight w:val="none"/>
        </w:rPr>
        <w:t>资格性自查表</w:t>
      </w:r>
      <w:bookmarkEnd w:id="1716"/>
    </w:p>
    <w:p>
      <w:pPr>
        <w:jc w:val="center"/>
        <w:rPr>
          <w:rFonts w:ascii="宋体" w:hAnsi="宋体"/>
          <w:b/>
          <w:bCs/>
          <w:color w:val="000000" w:themeColor="text1"/>
          <w:szCs w:val="21"/>
          <w:highlight w:val="none"/>
        </w:rPr>
      </w:pPr>
    </w:p>
    <w:tbl>
      <w:tblPr>
        <w:tblStyle w:val="47"/>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
        <w:gridCol w:w="1112"/>
        <w:gridCol w:w="3175"/>
        <w:gridCol w:w="1830"/>
        <w:gridCol w:w="2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0"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31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830"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302"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8" w:hRule="atLeast"/>
          <w:jc w:val="center"/>
        </w:trPr>
        <w:tc>
          <w:tcPr>
            <w:tcW w:w="868" w:type="dxa"/>
            <w:vMerge w:val="restart"/>
            <w:vAlign w:val="center"/>
          </w:tcPr>
          <w:p>
            <w:pPr>
              <w:tabs>
                <w:tab w:val="left" w:pos="480"/>
              </w:tabs>
              <w:ind w:left="480" w:hanging="480"/>
              <w:rPr>
                <w:rFonts w:hint="eastAsia" w:ascii="宋体" w:hAnsi="宋体"/>
                <w:color w:val="000000" w:themeColor="text1"/>
                <w:szCs w:val="21"/>
                <w:highlight w:val="none"/>
              </w:rPr>
            </w:pPr>
            <w:r>
              <w:rPr>
                <w:rFonts w:hint="eastAsia" w:ascii="宋体" w:hAnsi="宋体"/>
                <w:color w:val="000000" w:themeColor="text1"/>
                <w:szCs w:val="21"/>
                <w:highlight w:val="none"/>
              </w:rPr>
              <w:t>资格性</w:t>
            </w:r>
          </w:p>
          <w:p>
            <w:pPr>
              <w:tabs>
                <w:tab w:val="left" w:pos="480"/>
              </w:tabs>
              <w:rPr>
                <w:rFonts w:ascii="宋体" w:hAnsi="宋体"/>
                <w:b/>
                <w:bCs/>
                <w:color w:val="000000" w:themeColor="text1"/>
                <w:szCs w:val="21"/>
                <w:highlight w:val="none"/>
              </w:rPr>
            </w:pPr>
            <w:r>
              <w:rPr>
                <w:rFonts w:hint="eastAsia" w:ascii="宋体" w:hAnsi="宋体"/>
                <w:color w:val="000000" w:themeColor="text1"/>
                <w:szCs w:val="21"/>
                <w:highlight w:val="none"/>
              </w:rPr>
              <w:t>检查</w:t>
            </w:r>
          </w:p>
        </w:tc>
        <w:tc>
          <w:tcPr>
            <w:tcW w:w="1112" w:type="dxa"/>
            <w:vMerge w:val="restart"/>
            <w:vAlign w:val="center"/>
          </w:tcPr>
          <w:p>
            <w:pPr>
              <w:tabs>
                <w:tab w:val="left" w:pos="146"/>
              </w:tabs>
              <w:ind w:left="146"/>
              <w:rPr>
                <w:rFonts w:hint="eastAsia" w:ascii="宋体" w:hAnsi="宋体"/>
                <w:color w:val="000000" w:themeColor="text1"/>
                <w:szCs w:val="21"/>
                <w:highlight w:val="none"/>
              </w:rPr>
            </w:pPr>
          </w:p>
          <w:p>
            <w:pPr>
              <w:tabs>
                <w:tab w:val="left" w:pos="146"/>
              </w:tabs>
              <w:rPr>
                <w:rFonts w:ascii="宋体" w:hAnsi="宋体"/>
                <w:color w:val="000000" w:themeColor="text1"/>
                <w:szCs w:val="21"/>
                <w:highlight w:val="none"/>
              </w:rPr>
            </w:pPr>
            <w:r>
              <w:rPr>
                <w:rFonts w:hint="eastAsia" w:ascii="宋体" w:hAnsi="宋体"/>
                <w:color w:val="000000" w:themeColor="text1"/>
                <w:szCs w:val="21"/>
                <w:highlight w:val="none"/>
              </w:rPr>
              <w:t>投标人资格要求</w:t>
            </w:r>
          </w:p>
        </w:tc>
        <w:tc>
          <w:tcPr>
            <w:tcW w:w="3175"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投标人应具备《中华人民共和国政府采购法》第二十二条规定的条件</w:t>
            </w:r>
          </w:p>
          <w:p>
            <w:pPr>
              <w:tabs>
                <w:tab w:val="left" w:pos="0"/>
              </w:tabs>
              <w:rPr>
                <w:rFonts w:ascii="宋体" w:hAnsi="宋体"/>
                <w:b/>
                <w:bCs/>
                <w:color w:val="000000" w:themeColor="text1"/>
                <w:szCs w:val="21"/>
                <w:highlight w:val="none"/>
              </w:rPr>
            </w:pPr>
          </w:p>
        </w:tc>
        <w:tc>
          <w:tcPr>
            <w:tcW w:w="1830" w:type="dxa"/>
            <w:vAlign w:val="center"/>
          </w:tcPr>
          <w:p>
            <w:pPr>
              <w:tabs>
                <w:tab w:val="left" w:pos="480"/>
              </w:tabs>
              <w:ind w:left="480" w:hanging="480"/>
              <w:rPr>
                <w:rFonts w:ascii="宋体" w:hAnsi="宋体"/>
                <w:b/>
                <w:bCs/>
                <w:color w:val="000000" w:themeColor="text1"/>
                <w:szCs w:val="21"/>
                <w:highlight w:val="none"/>
              </w:rPr>
            </w:pPr>
          </w:p>
        </w:tc>
        <w:tc>
          <w:tcPr>
            <w:tcW w:w="2302" w:type="dxa"/>
            <w:vAlign w:val="center"/>
          </w:tcPr>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见投标文件</w:t>
            </w:r>
          </w:p>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第（  ）页</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要求：提交合法有效的营业执照复印件加盖公章、</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2" w:hRule="atLeast"/>
          <w:jc w:val="center"/>
        </w:trPr>
        <w:tc>
          <w:tcPr>
            <w:tcW w:w="868"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1112" w:type="dxa"/>
            <w:vMerge w:val="continue"/>
            <w:vAlign w:val="center"/>
          </w:tcPr>
          <w:p>
            <w:pPr>
              <w:tabs>
                <w:tab w:val="left" w:pos="146"/>
              </w:tabs>
              <w:ind w:left="146"/>
              <w:rPr>
                <w:rFonts w:ascii="宋体" w:hAnsi="宋体"/>
                <w:color w:val="000000" w:themeColor="text1"/>
                <w:szCs w:val="21"/>
                <w:highlight w:val="none"/>
              </w:rPr>
            </w:pPr>
          </w:p>
        </w:tc>
        <w:tc>
          <w:tcPr>
            <w:tcW w:w="3175" w:type="dxa"/>
            <w:vAlign w:val="center"/>
          </w:tcPr>
          <w:p>
            <w:pPr>
              <w:tabs>
                <w:tab w:val="left" w:pos="0"/>
              </w:tabs>
              <w:rPr>
                <w:rFonts w:ascii="宋体" w:hAnsi="宋体"/>
                <w:color w:val="000000" w:themeColor="text1"/>
                <w:szCs w:val="21"/>
                <w:highlight w:val="none"/>
              </w:rPr>
            </w:pPr>
            <w:r>
              <w:rPr>
                <w:rFonts w:hint="eastAsia" w:ascii="宋体" w:hAnsi="宋体" w:cs="宋体"/>
                <w:color w:val="000000" w:themeColor="text1"/>
                <w:sz w:val="21"/>
                <w:szCs w:val="21"/>
                <w:highlight w:val="none"/>
              </w:rPr>
              <w:t>投标人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w:t>
            </w:r>
          </w:p>
        </w:tc>
        <w:tc>
          <w:tcPr>
            <w:tcW w:w="1830" w:type="dxa"/>
            <w:vAlign w:val="center"/>
          </w:tcPr>
          <w:p>
            <w:pPr>
              <w:tabs>
                <w:tab w:val="left" w:pos="480"/>
              </w:tabs>
              <w:ind w:left="480" w:hanging="480"/>
              <w:rPr>
                <w:rFonts w:ascii="宋体" w:hAnsi="宋体"/>
                <w:color w:val="000000" w:themeColor="text1"/>
                <w:szCs w:val="21"/>
                <w:highlight w:val="none"/>
              </w:rPr>
            </w:pPr>
          </w:p>
        </w:tc>
        <w:tc>
          <w:tcPr>
            <w:tcW w:w="2302"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2" w:hRule="atLeast"/>
          <w:jc w:val="center"/>
        </w:trPr>
        <w:tc>
          <w:tcPr>
            <w:tcW w:w="868"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1112" w:type="dxa"/>
            <w:vMerge w:val="continue"/>
            <w:vAlign w:val="center"/>
          </w:tcPr>
          <w:p>
            <w:pPr>
              <w:tabs>
                <w:tab w:val="left" w:pos="146"/>
              </w:tabs>
              <w:ind w:left="146"/>
              <w:rPr>
                <w:rFonts w:ascii="宋体" w:hAnsi="宋体"/>
                <w:color w:val="000000" w:themeColor="text1"/>
                <w:szCs w:val="21"/>
                <w:highlight w:val="none"/>
              </w:rPr>
            </w:pPr>
          </w:p>
        </w:tc>
        <w:tc>
          <w:tcPr>
            <w:tcW w:w="3175" w:type="dxa"/>
            <w:vAlign w:val="center"/>
          </w:tcPr>
          <w:p>
            <w:pPr>
              <w:tabs>
                <w:tab w:val="left" w:pos="0"/>
              </w:tabs>
              <w:rPr>
                <w:rFonts w:hint="eastAsia" w:ascii="宋体" w:hAnsi="宋体" w:cs="宋体"/>
                <w:color w:val="000000" w:themeColor="text1"/>
                <w:sz w:val="21"/>
                <w:szCs w:val="21"/>
                <w:highlight w:val="none"/>
              </w:rPr>
            </w:pPr>
            <w:r>
              <w:rPr>
                <w:rFonts w:hint="eastAsia" w:ascii="宋体" w:hAnsi="宋体" w:cs="宋体"/>
                <w:color w:val="000000" w:themeColor="text1"/>
                <w:sz w:val="21"/>
                <w:szCs w:val="21"/>
                <w:highlight w:val="none"/>
                <w:shd w:val="clear" w:color="auto" w:fill="FFFFFF"/>
              </w:rPr>
              <w:t>单位负责人为同一人或者存在直接控股、管理关系的不同供应商，不得同时参加本采购项目投标。为本项目提供整体设计、规范编制或者项目管理、监理、检测等服务的供应商，不得再参与本项目投标。（</w:t>
            </w:r>
            <w:r>
              <w:rPr>
                <w:rFonts w:hint="eastAsia" w:ascii="宋体" w:hAnsi="宋体" w:cs="宋体"/>
                <w:color w:val="000000" w:themeColor="text1"/>
                <w:sz w:val="21"/>
                <w:szCs w:val="21"/>
                <w:highlight w:val="none"/>
              </w:rPr>
              <w:t>提供《投标函》承诺</w:t>
            </w:r>
            <w:r>
              <w:rPr>
                <w:rFonts w:hint="eastAsia" w:ascii="宋体" w:hAnsi="宋体" w:cs="宋体"/>
                <w:color w:val="000000" w:themeColor="text1"/>
                <w:sz w:val="21"/>
                <w:szCs w:val="21"/>
                <w:highlight w:val="none"/>
                <w:shd w:val="clear" w:color="auto" w:fill="FFFFFF"/>
              </w:rPr>
              <w:t>）</w:t>
            </w:r>
          </w:p>
        </w:tc>
        <w:tc>
          <w:tcPr>
            <w:tcW w:w="1830" w:type="dxa"/>
            <w:vAlign w:val="center"/>
          </w:tcPr>
          <w:p>
            <w:pPr>
              <w:tabs>
                <w:tab w:val="left" w:pos="480"/>
              </w:tabs>
              <w:ind w:left="480" w:hanging="480"/>
              <w:rPr>
                <w:rFonts w:ascii="宋体" w:hAnsi="宋体"/>
                <w:color w:val="000000" w:themeColor="text1"/>
                <w:szCs w:val="21"/>
                <w:highlight w:val="none"/>
              </w:rPr>
            </w:pPr>
          </w:p>
        </w:tc>
        <w:tc>
          <w:tcPr>
            <w:tcW w:w="2302"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hint="eastAsia"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868"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1112" w:type="dxa"/>
            <w:vAlign w:val="center"/>
          </w:tcPr>
          <w:p>
            <w:pPr>
              <w:tabs>
                <w:tab w:val="left" w:pos="146"/>
              </w:tabs>
              <w:rPr>
                <w:rFonts w:ascii="宋体" w:hAnsi="宋体"/>
                <w:b/>
                <w:bCs/>
                <w:color w:val="000000" w:themeColor="text1"/>
                <w:szCs w:val="21"/>
                <w:highlight w:val="none"/>
              </w:rPr>
            </w:pPr>
            <w:r>
              <w:rPr>
                <w:rFonts w:hint="eastAsia" w:ascii="宋体" w:hAnsi="宋体"/>
                <w:color w:val="000000" w:themeColor="text1"/>
                <w:szCs w:val="21"/>
                <w:highlight w:val="none"/>
              </w:rPr>
              <w:t>不接受联合体投标</w:t>
            </w:r>
          </w:p>
        </w:tc>
        <w:tc>
          <w:tcPr>
            <w:tcW w:w="3175"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830" w:type="dxa"/>
            <w:vAlign w:val="center"/>
          </w:tcPr>
          <w:p>
            <w:pPr>
              <w:tabs>
                <w:tab w:val="left" w:pos="480"/>
              </w:tabs>
              <w:ind w:left="-107" w:leftChars="-51" w:firstLine="106"/>
              <w:rPr>
                <w:rFonts w:ascii="宋体" w:hAnsi="宋体"/>
                <w:b/>
                <w:bCs/>
                <w:color w:val="000000" w:themeColor="text1"/>
                <w:szCs w:val="21"/>
                <w:highlight w:val="none"/>
              </w:rPr>
            </w:pPr>
          </w:p>
        </w:tc>
        <w:tc>
          <w:tcPr>
            <w:tcW w:w="2302"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rPr>
          <w:rFonts w:ascii="宋体" w:hAnsi="宋体"/>
          <w:color w:val="000000" w:themeColor="text1"/>
          <w:szCs w:val="21"/>
          <w:highlight w:val="none"/>
        </w:rPr>
      </w:pPr>
      <w:r>
        <w:rPr>
          <w:rFonts w:hint="eastAsia" w:ascii="宋体" w:hAnsi="宋体"/>
          <w:color w:val="000000" w:themeColor="text1"/>
          <w:szCs w:val="21"/>
          <w:highlight w:val="none"/>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adjustRightInd w:val="0"/>
        <w:snapToGrid w:val="0"/>
        <w:spacing w:line="300" w:lineRule="auto"/>
        <w:rPr>
          <w:color w:val="000000" w:themeColor="text1"/>
          <w:sz w:val="24"/>
          <w:highlight w:val="none"/>
        </w:rPr>
      </w:pPr>
    </w:p>
    <w:p>
      <w:pPr>
        <w:adjustRightInd w:val="0"/>
        <w:snapToGrid w:val="0"/>
        <w:spacing w:line="300" w:lineRule="auto"/>
        <w:rPr>
          <w:color w:val="000000" w:themeColor="text1"/>
          <w:sz w:val="24"/>
          <w:highlight w:val="none"/>
        </w:rPr>
      </w:pPr>
    </w:p>
    <w:bookmarkEnd w:id="1357"/>
    <w:bookmarkEnd w:id="1358"/>
    <w:bookmarkEnd w:id="1359"/>
    <w:bookmarkEnd w:id="1360"/>
    <w:bookmarkEnd w:id="1361"/>
    <w:p>
      <w:pPr>
        <w:pStyle w:val="4"/>
        <w:numPr>
          <w:ilvl w:val="0"/>
          <w:numId w:val="0"/>
        </w:numPr>
        <w:rPr>
          <w:color w:val="000000" w:themeColor="text1"/>
          <w:highlight w:val="none"/>
        </w:rPr>
      </w:pPr>
      <w:bookmarkStart w:id="1717" w:name="_Toc24261"/>
      <w:bookmarkStart w:id="1718" w:name="_Toc399147593"/>
      <w:bookmarkStart w:id="1719" w:name="_Toc399684363"/>
      <w:bookmarkStart w:id="1720" w:name="_Toc382404102"/>
      <w:bookmarkStart w:id="1721" w:name="_Toc332206722"/>
      <w:bookmarkStart w:id="1722" w:name="_Toc333935359"/>
      <w:bookmarkStart w:id="1723" w:name="_Toc343247113"/>
      <w:bookmarkStart w:id="1724" w:name="_Toc342312456"/>
      <w:bookmarkStart w:id="1725" w:name="_Toc339020108"/>
      <w:bookmarkStart w:id="1726" w:name="_Toc333237691"/>
      <w:bookmarkStart w:id="1727" w:name="_Toc340507455"/>
      <w:bookmarkStart w:id="1728" w:name="_Toc339020028"/>
      <w:bookmarkStart w:id="1729" w:name="_Toc337632371"/>
      <w:bookmarkStart w:id="1730" w:name="_Toc331684055"/>
      <w:bookmarkStart w:id="1731" w:name="_Toc339441100"/>
      <w:bookmarkStart w:id="1732" w:name="_Toc343248431"/>
      <w:bookmarkStart w:id="1733" w:name="_Toc342060388"/>
      <w:bookmarkStart w:id="1734" w:name="_Toc333935700"/>
      <w:bookmarkStart w:id="1735" w:name="_Toc343612933"/>
      <w:bookmarkStart w:id="1736" w:name="_Toc340677083"/>
      <w:bookmarkStart w:id="1737" w:name="_Toc345312610"/>
      <w:bookmarkStart w:id="1738" w:name="_Toc350438762"/>
      <w:bookmarkStart w:id="1739" w:name="_Toc331512914"/>
      <w:bookmarkStart w:id="1740" w:name="_Toc333237802"/>
      <w:bookmarkStart w:id="1741" w:name="_Toc339019902"/>
      <w:bookmarkStart w:id="1742" w:name="_Toc336681593"/>
      <w:bookmarkStart w:id="1743" w:name="_Toc333238647"/>
      <w:bookmarkStart w:id="1744" w:name="_Toc365967085"/>
      <w:bookmarkStart w:id="1745" w:name="_Toc342296774"/>
      <w:bookmarkStart w:id="1746" w:name="_Toc342398143"/>
      <w:bookmarkStart w:id="1747" w:name="_Toc336681948"/>
      <w:bookmarkStart w:id="1748" w:name="_Toc366072542"/>
      <w:bookmarkStart w:id="1749" w:name="_Toc341348353"/>
      <w:bookmarkStart w:id="1750" w:name="_Toc332270360"/>
      <w:bookmarkStart w:id="1751" w:name="_Toc339020246"/>
      <w:bookmarkStart w:id="1752" w:name="_Toc365985191"/>
      <w:bookmarkStart w:id="1753" w:name="_Toc350756463"/>
      <w:bookmarkStart w:id="1754" w:name="_Toc330459999"/>
      <w:bookmarkStart w:id="1755" w:name="_Toc340672882"/>
      <w:bookmarkStart w:id="1756" w:name="_Toc339362313"/>
      <w:bookmarkStart w:id="1757" w:name="_Toc467987851"/>
      <w:bookmarkStart w:id="1758" w:name="_Toc480020285"/>
      <w:bookmarkStart w:id="1759" w:name="_Toc467236768"/>
      <w:bookmarkStart w:id="1760" w:name="_Toc479991610"/>
      <w:bookmarkStart w:id="1761" w:name="_Toc458262638"/>
      <w:bookmarkStart w:id="1762" w:name="_Toc480021081"/>
      <w:bookmarkStart w:id="1763" w:name="_Toc491658679"/>
      <w:bookmarkStart w:id="1764" w:name="_Toc500861026"/>
      <w:bookmarkStart w:id="1765" w:name="_Toc468157564"/>
      <w:bookmarkStart w:id="1766" w:name="_Toc6397150"/>
      <w:bookmarkStart w:id="1767" w:name="_Toc468606057"/>
      <w:bookmarkStart w:id="1768" w:name="_Toc480010736"/>
      <w:bookmarkStart w:id="1769" w:name="_Toc454701405"/>
      <w:bookmarkStart w:id="1770" w:name="_Toc6727971"/>
      <w:r>
        <w:rPr>
          <w:rFonts w:hint="eastAsia"/>
          <w:color w:val="000000" w:themeColor="text1"/>
          <w:highlight w:val="none"/>
        </w:rPr>
        <w:t>（一）资格审查文件要求提交的有效证明文件</w:t>
      </w:r>
      <w:bookmarkEnd w:id="1717"/>
    </w:p>
    <w:p>
      <w:pPr>
        <w:adjustRightInd w:val="0"/>
        <w:snapToGrid w:val="0"/>
        <w:spacing w:line="360" w:lineRule="auto"/>
        <w:jc w:val="left"/>
        <w:rPr>
          <w:rFonts w:ascii="宋体" w:hAnsi="宋体"/>
          <w:b/>
          <w:bCs/>
          <w:cap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p>
    <w:p>
      <w:pPr>
        <w:pStyle w:val="5"/>
        <w:rPr>
          <w:color w:val="000000" w:themeColor="text1"/>
          <w:highlight w:val="none"/>
        </w:rPr>
      </w:pP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1、合法有效的营业执照复印件加盖公章；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2、</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3、缴税证明复印件加盖公章；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4、社会保险证明复印件加盖公章；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5、</w:t>
      </w:r>
      <w:r>
        <w:rPr>
          <w:rFonts w:hint="eastAsia" w:hAnsi="黑体"/>
          <w:color w:val="000000" w:themeColor="text1"/>
          <w:szCs w:val="21"/>
          <w:highlight w:val="none"/>
        </w:rPr>
        <w:t>无重大违法记录声明函</w:t>
      </w:r>
      <w:r>
        <w:rPr>
          <w:rFonts w:hint="eastAsia" w:ascii="宋体" w:hAnsi="宋体"/>
          <w:color w:val="000000" w:themeColor="text1"/>
          <w:szCs w:val="21"/>
          <w:highlight w:val="none"/>
        </w:rPr>
        <w:t>；</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6、相关资质证明文件：</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7、</w:t>
      </w:r>
      <w:r>
        <w:rPr>
          <w:rFonts w:ascii="宋体" w:hAnsi="宋体"/>
          <w:color w:val="000000" w:themeColor="text1"/>
          <w:szCs w:val="21"/>
          <w:highlight w:val="none"/>
        </w:rPr>
        <w:t>………</w:t>
      </w:r>
    </w:p>
    <w:bookmarkEnd w:id="1718"/>
    <w:bookmarkEnd w:id="1719"/>
    <w:p>
      <w:pPr>
        <w:pStyle w:val="5"/>
        <w:rPr>
          <w:rFonts w:hAnsi="宋体"/>
          <w:bCs/>
          <w:color w:val="000000" w:themeColor="text1"/>
          <w:sz w:val="21"/>
          <w:szCs w:val="21"/>
          <w:highlight w:val="none"/>
        </w:rPr>
      </w:pPr>
    </w:p>
    <w:p>
      <w:pPr>
        <w:pStyle w:val="5"/>
        <w:rPr>
          <w:rFonts w:hAnsi="宋体"/>
          <w:bCs/>
          <w:color w:val="000000" w:themeColor="text1"/>
          <w:sz w:val="21"/>
          <w:szCs w:val="21"/>
          <w:highlight w:val="none"/>
        </w:rPr>
      </w:pPr>
    </w:p>
    <w:p>
      <w:pPr>
        <w:pStyle w:val="5"/>
        <w:rPr>
          <w:rFonts w:hAnsi="宋体"/>
          <w:bCs/>
          <w:color w:val="000000" w:themeColor="text1"/>
          <w:sz w:val="21"/>
          <w:szCs w:val="21"/>
          <w:highlight w:val="none"/>
        </w:rPr>
      </w:pPr>
    </w:p>
    <w:p>
      <w:pPr>
        <w:pStyle w:val="5"/>
        <w:rPr>
          <w:rFonts w:hAnsi="宋体"/>
          <w:bCs/>
          <w:color w:val="000000" w:themeColor="text1"/>
          <w:sz w:val="21"/>
          <w:szCs w:val="21"/>
          <w:highlight w:val="none"/>
        </w:rPr>
      </w:pPr>
    </w:p>
    <w:p>
      <w:pPr>
        <w:pStyle w:val="5"/>
        <w:rPr>
          <w:rFonts w:hAnsi="宋体"/>
          <w:color w:val="000000" w:themeColor="text1"/>
          <w:sz w:val="21"/>
          <w:szCs w:val="21"/>
          <w:highlight w:val="none"/>
        </w:rPr>
      </w:pPr>
      <w:r>
        <w:rPr>
          <w:rFonts w:hint="eastAsia" w:hAnsi="宋体"/>
          <w:bCs/>
          <w:color w:val="000000" w:themeColor="text1"/>
          <w:sz w:val="21"/>
          <w:szCs w:val="21"/>
          <w:highlight w:val="none"/>
        </w:rPr>
        <w:t>提供招标文件要求的资格</w:t>
      </w:r>
      <w:r>
        <w:rPr>
          <w:rFonts w:hint="eastAsia" w:hAnsi="宋体"/>
          <w:color w:val="000000" w:themeColor="text1"/>
          <w:sz w:val="21"/>
          <w:szCs w:val="21"/>
          <w:highlight w:val="none"/>
        </w:rPr>
        <w:t>证明文件复印件加盖公章。</w:t>
      </w: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4"/>
        <w:numPr>
          <w:ilvl w:val="0"/>
          <w:numId w:val="0"/>
        </w:numPr>
        <w:rPr>
          <w:rFonts w:hAnsi="黑体"/>
          <w:color w:val="000000" w:themeColor="text1"/>
          <w:szCs w:val="21"/>
          <w:highlight w:val="none"/>
        </w:rPr>
      </w:pPr>
      <w:bookmarkStart w:id="1771" w:name="_Toc25339"/>
      <w:r>
        <w:rPr>
          <w:rFonts w:hint="eastAsia" w:hAnsi="黑体"/>
          <w:color w:val="000000" w:themeColor="text1"/>
          <w:szCs w:val="21"/>
          <w:highlight w:val="none"/>
        </w:rPr>
        <w:t>（二）无重大违法记录声明函</w:t>
      </w:r>
      <w:bookmarkEnd w:id="1720"/>
      <w:bookmarkEnd w:id="1771"/>
    </w:p>
    <w:p>
      <w:pPr>
        <w:pStyle w:val="5"/>
        <w:spacing w:line="360" w:lineRule="auto"/>
        <w:ind w:left="420" w:firstLine="0"/>
        <w:rPr>
          <w:color w:val="000000" w:themeColor="text1"/>
          <w:highlight w:val="none"/>
        </w:rPr>
      </w:pPr>
    </w:p>
    <w:p>
      <w:pPr>
        <w:spacing w:line="360" w:lineRule="auto"/>
        <w:rPr>
          <w:color w:val="000000" w:themeColor="text1"/>
          <w:szCs w:val="21"/>
          <w:highlight w:val="none"/>
        </w:rPr>
      </w:pPr>
      <w:r>
        <w:rPr>
          <w:rFonts w:hint="eastAsia"/>
          <w:color w:val="000000" w:themeColor="text1"/>
          <w:szCs w:val="21"/>
          <w:highlight w:val="none"/>
        </w:rPr>
        <w:t>致广东业信采购招标有限公司：</w:t>
      </w:r>
    </w:p>
    <w:p>
      <w:pPr>
        <w:spacing w:line="360" w:lineRule="auto"/>
        <w:rPr>
          <w:rFonts w:ascii="宋体" w:hAnsi="宋体"/>
          <w:bCs/>
          <w:color w:val="000000" w:themeColor="text1"/>
          <w:highlight w:val="none"/>
          <w:u w:val="single"/>
        </w:rPr>
      </w:pPr>
      <w:r>
        <w:rPr>
          <w:rFonts w:hint="eastAsia"/>
          <w:color w:val="000000" w:themeColor="text1"/>
          <w:szCs w:val="21"/>
          <w:highlight w:val="none"/>
        </w:rPr>
        <w:t xml:space="preserve">    针对贵</w:t>
      </w:r>
      <w:r>
        <w:rPr>
          <w:rFonts w:hint="eastAsia" w:ascii="宋体" w:hAnsi="宋体"/>
          <w:color w:val="000000" w:themeColor="text1"/>
          <w:szCs w:val="21"/>
          <w:highlight w:val="none"/>
        </w:rPr>
        <w:t>方</w:t>
      </w:r>
      <w:r>
        <w:rPr>
          <w:rFonts w:hint="eastAsia"/>
          <w:color w:val="000000" w:themeColor="text1"/>
          <w:szCs w:val="21"/>
          <w:highlight w:val="none"/>
        </w:rPr>
        <w:t>组织的（项目名称：</w:t>
      </w:r>
      <w:r>
        <w:rPr>
          <w:rFonts w:hint="eastAsia"/>
          <w:color w:val="000000" w:themeColor="text1"/>
          <w:szCs w:val="21"/>
          <w:highlight w:val="none"/>
          <w:u w:val="single"/>
        </w:rPr>
        <w:t xml:space="preserve">                         </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color w:val="000000" w:themeColor="text1"/>
          <w:szCs w:val="21"/>
          <w:highlight w:val="none"/>
        </w:rPr>
        <w:t>），我方郑重承诺：</w:t>
      </w:r>
    </w:p>
    <w:p>
      <w:pPr>
        <w:spacing w:line="360" w:lineRule="auto"/>
        <w:rPr>
          <w:color w:val="000000" w:themeColor="text1"/>
          <w:szCs w:val="21"/>
          <w:highlight w:val="none"/>
        </w:rPr>
      </w:pPr>
      <w:r>
        <w:rPr>
          <w:rFonts w:hint="eastAsia"/>
          <w:color w:val="000000" w:themeColor="text1"/>
          <w:szCs w:val="21"/>
          <w:highlight w:val="none"/>
        </w:rPr>
        <w:t xml:space="preserve">    参加本次政府采购活动前三年内，在经营活动中没有重大违法记录。</w:t>
      </w:r>
    </w:p>
    <w:p>
      <w:pPr>
        <w:spacing w:line="360" w:lineRule="auto"/>
        <w:rPr>
          <w:color w:val="000000" w:themeColor="text1"/>
          <w:szCs w:val="21"/>
          <w:highlight w:val="none"/>
        </w:rPr>
      </w:pPr>
      <w:r>
        <w:rPr>
          <w:rFonts w:hint="eastAsia"/>
          <w:color w:val="000000" w:themeColor="text1"/>
          <w:szCs w:val="21"/>
          <w:highlight w:val="none"/>
        </w:rPr>
        <w:t xml:space="preserve">    本公司对上述声明的真实性负责。如有虚假，将依法承担相关责任。</w:t>
      </w:r>
    </w:p>
    <w:p>
      <w:pPr>
        <w:spacing w:line="360" w:lineRule="auto"/>
        <w:rPr>
          <w:color w:val="000000" w:themeColor="text1"/>
          <w:szCs w:val="21"/>
          <w:highlight w:val="none"/>
        </w:rPr>
      </w:pPr>
      <w:r>
        <w:rPr>
          <w:rFonts w:hint="eastAsia"/>
          <w:color w:val="000000" w:themeColor="text1"/>
          <w:szCs w:val="21"/>
          <w:highlight w:val="none"/>
        </w:rPr>
        <w:t xml:space="preserve">    特此声明。</w:t>
      </w: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rPr>
          <w:color w:val="000000" w:themeColor="text1"/>
          <w:szCs w:val="21"/>
          <w:highlight w:val="non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color w:val="000000" w:themeColor="text1"/>
          <w:szCs w:val="21"/>
          <w:highlight w:val="none"/>
        </w:rPr>
        <w:t>投标人名称（公章）：</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firstLine="0"/>
        <w:rPr>
          <w:color w:val="000000" w:themeColor="text1"/>
          <w:highlight w:val="none"/>
        </w:rPr>
      </w:pPr>
    </w:p>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pStyle w:val="4"/>
        <w:numPr>
          <w:ilvl w:val="7"/>
          <w:numId w:val="6"/>
        </w:numPr>
        <w:tabs>
          <w:tab w:val="clear" w:pos="720"/>
        </w:tabs>
        <w:ind w:left="720"/>
        <w:rPr>
          <w:color w:val="000000" w:themeColor="text1"/>
          <w:highlight w:val="none"/>
        </w:rPr>
      </w:pPr>
      <w:bookmarkStart w:id="1772" w:name="_Toc339020035"/>
      <w:bookmarkStart w:id="1773" w:name="_Toc331512921"/>
      <w:bookmarkStart w:id="1774" w:name="_Toc350438769"/>
      <w:bookmarkStart w:id="1775" w:name="_Toc332206729"/>
      <w:bookmarkStart w:id="1776" w:name="_Toc337632378"/>
      <w:bookmarkStart w:id="1777" w:name="_Toc339019909"/>
      <w:bookmarkStart w:id="1778" w:name="_Toc342296781"/>
      <w:bookmarkStart w:id="1779" w:name="_Toc342398150"/>
      <w:bookmarkStart w:id="1780" w:name="_Toc365985198"/>
      <w:bookmarkStart w:id="1781" w:name="_Toc336681600"/>
      <w:bookmarkStart w:id="1782" w:name="_Toc333935366"/>
      <w:bookmarkStart w:id="1783" w:name="_Toc342312463"/>
      <w:bookmarkStart w:id="1784" w:name="_Toc339020253"/>
      <w:bookmarkStart w:id="1785" w:name="_Toc339362320"/>
      <w:bookmarkStart w:id="1786" w:name="_Toc365967092"/>
      <w:bookmarkStart w:id="1787" w:name="_Toc343612940"/>
      <w:bookmarkStart w:id="1788" w:name="_Toc331684062"/>
      <w:bookmarkStart w:id="1789" w:name="_Toc340677090"/>
      <w:bookmarkStart w:id="1790" w:name="_Toc342060395"/>
      <w:bookmarkStart w:id="1791" w:name="_Toc18184"/>
      <w:bookmarkStart w:id="1792" w:name="_Toc340672889"/>
      <w:bookmarkStart w:id="1793" w:name="_Toc366072549"/>
      <w:bookmarkStart w:id="1794" w:name="_Toc341348360"/>
      <w:bookmarkStart w:id="1795" w:name="_Toc336681955"/>
      <w:bookmarkStart w:id="1796" w:name="_Toc332270367"/>
      <w:bookmarkStart w:id="1797" w:name="_Toc333935707"/>
      <w:bookmarkStart w:id="1798" w:name="_Toc333237698"/>
      <w:bookmarkStart w:id="1799" w:name="_Toc339020115"/>
      <w:bookmarkStart w:id="1800" w:name="_Toc340507462"/>
      <w:bookmarkStart w:id="1801" w:name="_Toc330460006"/>
      <w:bookmarkStart w:id="1802" w:name="_Toc339441107"/>
      <w:bookmarkStart w:id="1803" w:name="_Toc333237809"/>
      <w:bookmarkStart w:id="1804" w:name="_Toc350756470"/>
      <w:bookmarkStart w:id="1805" w:name="_Toc333238654"/>
      <w:bookmarkStart w:id="1806" w:name="_Toc345312617"/>
      <w:bookmarkStart w:id="1807" w:name="_Toc343247120"/>
      <w:bookmarkStart w:id="1808" w:name="_Toc343248438"/>
      <w:r>
        <w:rPr>
          <w:rFonts w:hint="eastAsia"/>
          <w:color w:val="000000" w:themeColor="text1"/>
          <w:highlight w:val="none"/>
        </w:rPr>
        <w:t>投标文件商务及技术部分</w:t>
      </w:r>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p>
    <w:p>
      <w:pPr>
        <w:pStyle w:val="4"/>
        <w:numPr>
          <w:ilvl w:val="0"/>
          <w:numId w:val="0"/>
        </w:numPr>
        <w:rPr>
          <w:color w:val="000000" w:themeColor="text1"/>
          <w:sz w:val="24"/>
          <w:highlight w:val="none"/>
        </w:rPr>
      </w:pPr>
      <w:bookmarkStart w:id="1809" w:name="_Toc14276"/>
      <w:r>
        <w:rPr>
          <w:rFonts w:hint="eastAsia"/>
          <w:color w:val="000000" w:themeColor="text1"/>
          <w:sz w:val="24"/>
          <w:highlight w:val="none"/>
        </w:rPr>
        <w:t>商务及技术封面格式</w:t>
      </w:r>
      <w:bookmarkEnd w:id="1809"/>
    </w:p>
    <w:p>
      <w:pPr>
        <w:pStyle w:val="5"/>
        <w:rPr>
          <w:rFonts w:hAnsi="宋体"/>
          <w:bCs/>
          <w:color w:val="000000" w:themeColor="text1"/>
          <w:sz w:val="21"/>
          <w:highlight w:val="none"/>
        </w:rPr>
      </w:pPr>
    </w:p>
    <w:p>
      <w:pPr>
        <w:pStyle w:val="5"/>
        <w:spacing w:line="360" w:lineRule="auto"/>
        <w:rPr>
          <w:rFonts w:hAnsi="宋体"/>
          <w:bCs/>
          <w:color w:val="000000" w:themeColor="text1"/>
          <w:sz w:val="21"/>
          <w:highlight w:val="none"/>
        </w:rPr>
      </w:pPr>
      <w:r>
        <w:rPr>
          <w:rFonts w:hAnsi="宋体"/>
          <w:bCs/>
          <w:color w:val="000000" w:themeColor="text1"/>
          <w:sz w:val="21"/>
          <w:highlight w:val="none"/>
        </w:rPr>
        <w:t>1</w:t>
      </w:r>
      <w:r>
        <w:rPr>
          <w:rFonts w:hint="eastAsia" w:hAnsi="宋体"/>
          <w:bCs/>
          <w:color w:val="000000" w:themeColor="text1"/>
          <w:sz w:val="21"/>
          <w:highlight w:val="none"/>
        </w:rPr>
        <w:t xml:space="preserve">、投标内容应当编目录、页码，按页码排序并装订成册。   </w:t>
      </w:r>
    </w:p>
    <w:p>
      <w:pPr>
        <w:pStyle w:val="5"/>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5"/>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（商务及技术文件）</w:t>
      </w: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440" w:lineRule="exact"/>
        <w:jc w:val="center"/>
        <w:rPr>
          <w:rFonts w:hAnsi="宋体"/>
          <w:bCs/>
          <w:color w:val="000000" w:themeColor="text1"/>
          <w:sz w:val="21"/>
          <w:highlight w:val="none"/>
        </w:rPr>
      </w:pPr>
    </w:p>
    <w:p>
      <w:pPr>
        <w:pStyle w:val="5"/>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5"/>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pStyle w:val="5"/>
        <w:rPr>
          <w:color w:val="000000" w:themeColor="text1"/>
          <w:highlight w:val="none"/>
        </w:rPr>
      </w:pPr>
    </w:p>
    <w:p>
      <w:pPr>
        <w:pStyle w:val="5"/>
        <w:rPr>
          <w:color w:val="000000" w:themeColor="text1"/>
          <w:highlight w:val="none"/>
        </w:rPr>
      </w:pPr>
    </w:p>
    <w:p>
      <w:pPr>
        <w:pStyle w:val="4"/>
        <w:keepLines w:val="0"/>
        <w:numPr>
          <w:ilvl w:val="0"/>
          <w:numId w:val="0"/>
        </w:numPr>
        <w:tabs>
          <w:tab w:val="left" w:pos="4320"/>
        </w:tabs>
        <w:spacing w:before="240" w:after="60" w:line="360" w:lineRule="exact"/>
        <w:rPr>
          <w:rFonts w:ascii="宋体"/>
          <w:b/>
          <w:bCs w:val="0"/>
          <w:color w:val="000000" w:themeColor="text1"/>
          <w:szCs w:val="21"/>
          <w:highlight w:val="none"/>
        </w:rPr>
      </w:pPr>
      <w:bookmarkStart w:id="1810" w:name="_Toc534"/>
      <w:r>
        <w:rPr>
          <w:rFonts w:hint="eastAsia" w:ascii="宋体"/>
          <w:b/>
          <w:bCs w:val="0"/>
          <w:color w:val="000000" w:themeColor="text1"/>
          <w:szCs w:val="21"/>
          <w:highlight w:val="none"/>
        </w:rPr>
        <w:t>符合性自查表</w:t>
      </w:r>
      <w:bookmarkEnd w:id="1810"/>
    </w:p>
    <w:p>
      <w:pPr>
        <w:jc w:val="center"/>
        <w:rPr>
          <w:rFonts w:ascii="宋体" w:hAnsi="宋体"/>
          <w:b/>
          <w:bCs/>
          <w:color w:val="000000" w:themeColor="text1"/>
          <w:szCs w:val="21"/>
          <w:highlight w:val="none"/>
        </w:rPr>
      </w:pPr>
    </w:p>
    <w:tbl>
      <w:tblPr>
        <w:tblStyle w:val="47"/>
        <w:tblW w:w="97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103"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color w:val="000000" w:themeColor="text1"/>
                <w:szCs w:val="21"/>
                <w:highlight w:val="none"/>
              </w:rPr>
              <w:t>符合性审查</w:t>
            </w:r>
          </w:p>
        </w:tc>
        <w:tc>
          <w:tcPr>
            <w:tcW w:w="23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lang w:eastAsia="zh-CN"/>
              </w:rPr>
              <w:t>完工</w:t>
            </w:r>
            <w:r>
              <w:rPr>
                <w:rFonts w:hint="eastAsia" w:ascii="宋体" w:hAnsi="宋体"/>
                <w:color w:val="000000" w:themeColor="text1"/>
                <w:szCs w:val="21"/>
                <w:highlight w:val="none"/>
              </w:rPr>
              <w:t>期须满足要求</w:t>
            </w:r>
          </w:p>
        </w:tc>
        <w:tc>
          <w:tcPr>
            <w:tcW w:w="195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103"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投标报价未超出报价上限</w:t>
            </w:r>
          </w:p>
        </w:tc>
        <w:tc>
          <w:tcPr>
            <w:tcW w:w="195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103"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保证金须满足要求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color w:val="000000" w:themeColor="text1"/>
                <w:szCs w:val="21"/>
                <w:highlight w:val="none"/>
              </w:rPr>
            </w:pPr>
          </w:p>
        </w:tc>
        <w:tc>
          <w:tcPr>
            <w:tcW w:w="2103"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按对应格式文件签署、盖章(原件)</w:t>
            </w:r>
          </w:p>
        </w:tc>
        <w:tc>
          <w:tcPr>
            <w:tcW w:w="1975" w:type="dxa"/>
            <w:vAlign w:val="center"/>
          </w:tcPr>
          <w:p>
            <w:pPr>
              <w:pStyle w:val="9"/>
              <w:rPr>
                <w:rFonts w:ascii="宋体" w:hAnsi="宋体"/>
                <w:bCs/>
                <w:color w:val="000000" w:themeColor="text1"/>
                <w:szCs w:val="21"/>
                <w:highlight w:val="none"/>
              </w:rPr>
            </w:pPr>
          </w:p>
        </w:tc>
        <w:tc>
          <w:tcPr>
            <w:tcW w:w="2103"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其他要求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按投标资料清单中规定提供“必须提交”的文件资料</w:t>
            </w:r>
          </w:p>
        </w:tc>
        <w:tc>
          <w:tcPr>
            <w:tcW w:w="1975" w:type="dxa"/>
            <w:vAlign w:val="center"/>
          </w:tcPr>
          <w:p>
            <w:pPr>
              <w:tabs>
                <w:tab w:val="left" w:pos="480"/>
              </w:tabs>
              <w:ind w:left="480" w:hanging="480"/>
              <w:rPr>
                <w:color w:val="000000" w:themeColor="text1"/>
                <w:highlight w:val="none"/>
              </w:rPr>
            </w:pPr>
          </w:p>
        </w:tc>
        <w:tc>
          <w:tcPr>
            <w:tcW w:w="2103"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 xml:space="preserve">    2.</w:t>
      </w:r>
      <w:r>
        <w:rPr>
          <w:rFonts w:hint="eastAsia" w:ascii="宋体" w:hAnsi="宋体"/>
          <w:bCs/>
          <w:color w:val="000000" w:themeColor="text1"/>
          <w:szCs w:val="21"/>
          <w:highlight w:val="none"/>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color w:val="000000" w:themeColor="text1"/>
          <w:sz w:val="24"/>
          <w:highlight w:val="none"/>
        </w:rPr>
      </w:pPr>
      <w:r>
        <w:rPr>
          <w:rFonts w:hint="eastAsia" w:ascii="宋体" w:hAnsi="宋体"/>
          <w:color w:val="000000" w:themeColor="text1"/>
          <w:szCs w:val="21"/>
          <w:highlight w:val="none"/>
        </w:rPr>
        <w:t>日期：   年   月   日</w:t>
      </w:r>
    </w:p>
    <w:p>
      <w:pPr>
        <w:pStyle w:val="4"/>
        <w:keepLines w:val="0"/>
        <w:numPr>
          <w:ilvl w:val="0"/>
          <w:numId w:val="0"/>
        </w:numPr>
        <w:tabs>
          <w:tab w:val="left" w:pos="4320"/>
        </w:tabs>
        <w:spacing w:before="240" w:after="60" w:line="480" w:lineRule="exact"/>
        <w:rPr>
          <w:rFonts w:ascii="宋体"/>
          <w:b/>
          <w:color w:val="000000" w:themeColor="text1"/>
          <w:szCs w:val="21"/>
          <w:highlight w:val="none"/>
        </w:rPr>
      </w:pPr>
      <w:r>
        <w:rPr>
          <w:rFonts w:ascii="宋体"/>
          <w:b/>
          <w:bCs w:val="0"/>
          <w:color w:val="000000" w:themeColor="text1"/>
          <w:szCs w:val="21"/>
          <w:highlight w:val="none"/>
        </w:rPr>
        <w:t xml:space="preserve">  </w:t>
      </w:r>
      <w:r>
        <w:rPr>
          <w:rFonts w:hint="eastAsia" w:ascii="宋体"/>
          <w:b/>
          <w:color w:val="000000" w:themeColor="text1"/>
          <w:szCs w:val="21"/>
          <w:highlight w:val="none"/>
        </w:rPr>
        <w:t xml:space="preserve"> </w:t>
      </w:r>
      <w:bookmarkStart w:id="1811" w:name="_Toc13308"/>
      <w:r>
        <w:rPr>
          <w:rFonts w:hint="eastAsia" w:ascii="宋体"/>
          <w:b/>
          <w:color w:val="000000" w:themeColor="text1"/>
          <w:szCs w:val="21"/>
          <w:highlight w:val="none"/>
        </w:rPr>
        <w:t>评审项目投标资料表</w:t>
      </w:r>
      <w:bookmarkEnd w:id="1811"/>
    </w:p>
    <w:p>
      <w:pPr>
        <w:jc w:val="center"/>
        <w:rPr>
          <w:rFonts w:ascii="宋体" w:hAnsi="宋体" w:eastAsia="黑体"/>
          <w:b/>
          <w:color w:val="000000" w:themeColor="text1"/>
          <w:kern w:val="44"/>
          <w:szCs w:val="21"/>
          <w:highlight w:val="none"/>
        </w:rPr>
      </w:pPr>
    </w:p>
    <w:tbl>
      <w:tblPr>
        <w:tblStyle w:val="47"/>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8"/>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评审分项</w:t>
            </w:r>
          </w:p>
        </w:tc>
        <w:tc>
          <w:tcPr>
            <w:tcW w:w="5202" w:type="dxa"/>
            <w:vAlign w:val="center"/>
          </w:tcPr>
          <w:p>
            <w:pPr>
              <w:pStyle w:val="308"/>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评审细则</w:t>
            </w:r>
          </w:p>
        </w:tc>
        <w:tc>
          <w:tcPr>
            <w:tcW w:w="2300" w:type="dxa"/>
            <w:vAlign w:val="center"/>
          </w:tcPr>
          <w:p>
            <w:pPr>
              <w:pStyle w:val="308"/>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40"/>
              <w:jc w:val="both"/>
              <w:rPr>
                <w:rFonts w:ascii="宋体" w:hAnsi="宋体" w:eastAsia="宋体" w:cs="Times New Roman"/>
                <w:color w:val="000000" w:themeColor="text1"/>
                <w:sz w:val="2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3"/>
              <w:ind w:left="420" w:firstLine="420"/>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bl>
    <w:p>
      <w:pPr>
        <w:adjustRightInd w:val="0"/>
        <w:snapToGrid w:val="0"/>
        <w:spacing w:line="300" w:lineRule="auto"/>
        <w:rPr>
          <w:rFonts w:ascii="宋体" w:hAnsi="宋体"/>
          <w:color w:val="000000" w:themeColor="text1"/>
          <w:szCs w:val="21"/>
          <w:highlight w:val="none"/>
        </w:rPr>
      </w:pPr>
    </w:p>
    <w:p>
      <w:pPr>
        <w:adjustRightInd w:val="0"/>
        <w:snapToGrid w:val="0"/>
        <w:spacing w:line="30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ind w:firstLine="0"/>
        <w:rPr>
          <w:color w:val="000000" w:themeColor="text1"/>
          <w:highlight w:val="none"/>
        </w:rPr>
      </w:pPr>
    </w:p>
    <w:p>
      <w:pPr>
        <w:pStyle w:val="4"/>
        <w:numPr>
          <w:ilvl w:val="0"/>
          <w:numId w:val="0"/>
        </w:numPr>
        <w:rPr>
          <w:color w:val="000000" w:themeColor="text1"/>
          <w:highlight w:val="none"/>
        </w:rPr>
      </w:pPr>
      <w:bookmarkStart w:id="1812" w:name="_Toc30824"/>
      <w:bookmarkStart w:id="1813" w:name="_Toc382404103"/>
      <w:r>
        <w:rPr>
          <w:rFonts w:hint="eastAsia"/>
          <w:color w:val="000000" w:themeColor="text1"/>
          <w:highlight w:val="none"/>
        </w:rPr>
        <w:t>（一）法定代表人（负责人）证明书</w:t>
      </w:r>
      <w:bookmarkEnd w:id="1812"/>
      <w:bookmarkEnd w:id="1813"/>
    </w:p>
    <w:p>
      <w:pPr>
        <w:pStyle w:val="5"/>
        <w:rPr>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u w:val="single"/>
        </w:rPr>
        <w:t xml:space="preserve">      单位法定代表人（负责人）姓名     </w:t>
      </w:r>
      <w:r>
        <w:rPr>
          <w:rFonts w:hint="eastAsia" w:ascii="宋体" w:hAnsi="宋体"/>
          <w:color w:val="000000" w:themeColor="text1"/>
          <w:highlight w:val="none"/>
        </w:rPr>
        <w:t>同志，现任</w:t>
      </w:r>
      <w:r>
        <w:rPr>
          <w:rFonts w:hint="eastAsia" w:ascii="宋体" w:hAnsi="宋体"/>
          <w:color w:val="000000" w:themeColor="text1"/>
          <w:highlight w:val="none"/>
          <w:u w:val="single"/>
        </w:rPr>
        <w:t xml:space="preserve">       投标人名称                  </w:t>
      </w:r>
      <w:r>
        <w:rPr>
          <w:rFonts w:hint="eastAsia" w:ascii="宋体" w:hAnsi="宋体"/>
          <w:color w:val="000000" w:themeColor="text1"/>
          <w:highlight w:val="none"/>
        </w:rPr>
        <w:t>的</w:t>
      </w:r>
      <w:r>
        <w:rPr>
          <w:rFonts w:hint="eastAsia" w:ascii="宋体" w:hAnsi="宋体"/>
          <w:color w:val="000000" w:themeColor="text1"/>
          <w:highlight w:val="none"/>
          <w:u w:val="single"/>
        </w:rPr>
        <w:t xml:space="preserve">   职务    </w:t>
      </w:r>
      <w:r>
        <w:rPr>
          <w:rFonts w:hint="eastAsia" w:ascii="宋体" w:hAnsi="宋体"/>
          <w:color w:val="000000" w:themeColor="text1"/>
          <w:highlight w:val="none"/>
        </w:rPr>
        <w:t>，为法定代表人（负责人），特此证明。</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 xml:space="preserve">      </w:t>
      </w:r>
    </w:p>
    <w:p>
      <w:pPr>
        <w:spacing w:line="560" w:lineRule="exact"/>
        <w:ind w:firstLine="420" w:firstLineChars="200"/>
        <w:rPr>
          <w:rFonts w:ascii="宋体" w:hAnsi="宋体"/>
          <w:color w:val="000000" w:themeColor="text1"/>
          <w:highlight w:val="none"/>
          <w:u w:val="single"/>
        </w:rPr>
      </w:pPr>
      <w:r>
        <w:rPr>
          <w:rFonts w:hint="eastAsia" w:ascii="宋体" w:hAnsi="宋体"/>
          <w:color w:val="000000" w:themeColor="text1"/>
          <w:highlight w:val="none"/>
        </w:rPr>
        <w:t>签发单位：</w:t>
      </w:r>
      <w:r>
        <w:rPr>
          <w:rFonts w:hint="eastAsia" w:ascii="宋体" w:hAnsi="宋体"/>
          <w:color w:val="000000" w:themeColor="text1"/>
          <w:highlight w:val="none"/>
          <w:u w:val="single"/>
        </w:rPr>
        <w:t xml:space="preserve">（名称并加盖公章）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spacing w:line="560" w:lineRule="exact"/>
        <w:ind w:firstLine="420" w:firstLineChars="200"/>
        <w:rPr>
          <w:rFonts w:ascii="宋体" w:hAnsi="宋体"/>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附：代表人性别：</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年龄：</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岁    </w:t>
      </w:r>
    </w:p>
    <w:p>
      <w:pPr>
        <w:spacing w:line="480" w:lineRule="exact"/>
        <w:ind w:firstLine="420" w:firstLineChars="200"/>
        <w:rPr>
          <w:rFonts w:ascii="宋体" w:hAnsi="宋体"/>
          <w:color w:val="000000" w:themeColor="text1"/>
          <w:highlight w:val="none"/>
        </w:rPr>
      </w:pPr>
    </w:p>
    <w:p>
      <w:pPr>
        <w:spacing w:line="480" w:lineRule="exact"/>
        <w:ind w:firstLine="420" w:firstLineChars="200"/>
        <w:rPr>
          <w:rFonts w:ascii="宋体" w:hAnsi="宋体"/>
          <w:color w:val="000000" w:themeColor="text1"/>
          <w:highlight w:val="none"/>
        </w:rPr>
      </w:pPr>
      <w:r>
        <w:rPr>
          <w:rFonts w:hint="eastAsia" w:ascii="宋体" w:hAnsi="宋体"/>
          <w:color w:val="000000" w:themeColor="text1"/>
          <w:highlight w:val="none"/>
        </w:rPr>
        <w:t>说明： 内容必须填写真实、清楚，涂改无效，不得转让、买卖。</w:t>
      </w:r>
    </w:p>
    <w:p>
      <w:pPr>
        <w:spacing w:line="480" w:lineRule="exact"/>
        <w:ind w:firstLine="420" w:firstLineChars="200"/>
        <w:rPr>
          <w:rFonts w:ascii="宋体" w:hAnsi="宋体"/>
          <w:color w:val="000000" w:themeColor="text1"/>
          <w:highlight w:val="none"/>
        </w:rPr>
      </w:pPr>
    </w:p>
    <w:p>
      <w:pPr>
        <w:pStyle w:val="5"/>
        <w:rPr>
          <w:rFonts w:hAnsi="宋体"/>
          <w:color w:val="000000" w:themeColor="text1"/>
          <w:sz w:val="21"/>
          <w:highlight w:val="none"/>
        </w:rPr>
      </w:pPr>
    </w:p>
    <w:p>
      <w:pPr>
        <w:pStyle w:val="5"/>
        <w:rPr>
          <w:color w:val="000000" w:themeColor="text1"/>
          <w:highlight w:val="none"/>
        </w:rPr>
        <w:sectPr>
          <w:footerReference r:id="rId12" w:type="first"/>
          <w:footerReference r:id="rId11" w:type="default"/>
          <w:pgSz w:w="11906" w:h="16838"/>
          <w:pgMar w:top="1474" w:right="1418" w:bottom="1474" w:left="1418" w:header="851" w:footer="851" w:gutter="0"/>
          <w:cols w:space="720" w:num="1"/>
          <w:titlePg/>
          <w:docGrid w:linePitch="312" w:charSpace="0"/>
        </w:sectPr>
      </w:pPr>
      <w:r>
        <w:rPr>
          <w:color w:val="000000" w:themeColor="text1"/>
          <w:highlight w:val="none"/>
        </w:rPr>
        <w:pict>
          <v:shape id="_x0000_s1026" o:spid="_x0000_s1026" o:spt="176" type="#_x0000_t176" style="position:absolute;left:0pt;margin-left:68.25pt;margin-top:27.3pt;height:135.65pt;width:273.55pt;z-index:251660288;mso-width-relative:page;mso-height-relative:page;"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OmE9EtgAAAAKAQAADwAAAAAAAAABACAAAAAiAAAAZHJzL2Rvd25y&#10;ZXYueG1sUEsBAhQAFAAAAAgAh07iQAU70Fo3AgAASAQAAA4AAAAAAAAAAQAgAAAAJwEAAGRycy9l&#10;Mm9Eb2MueG1sUEsFBgAAAAAGAAYAWQEAANAFAAAAAA==&#10;">
            <v:path/>
            <v:fill focussize="0,0"/>
            <v:stroke joinstyle="miter"/>
            <v:imagedata o:title=""/>
            <o:lock v:ext="edit"/>
            <v:textbox>
              <w:txbxContent>
                <w:p/>
                <w:p/>
                <w:p>
                  <w:pPr>
                    <w:jc w:val="center"/>
                  </w:pPr>
                  <w:r>
                    <w:rPr>
                      <w:rFonts w:hint="eastAsia"/>
                    </w:rPr>
                    <w:t>身份证正反面复印件</w:t>
                  </w:r>
                </w:p>
              </w:txbxContent>
            </v:textbox>
          </v:shape>
        </w:pict>
      </w:r>
    </w:p>
    <w:p>
      <w:pPr>
        <w:pStyle w:val="4"/>
        <w:numPr>
          <w:ilvl w:val="0"/>
          <w:numId w:val="0"/>
        </w:numPr>
        <w:rPr>
          <w:color w:val="000000" w:themeColor="text1"/>
          <w:highlight w:val="none"/>
        </w:rPr>
      </w:pPr>
      <w:bookmarkStart w:id="1814" w:name="_Toc337632372"/>
      <w:bookmarkStart w:id="1815" w:name="_Toc339019903"/>
      <w:bookmarkStart w:id="1816" w:name="_Toc342296775"/>
      <w:bookmarkStart w:id="1817" w:name="_Toc340672883"/>
      <w:bookmarkStart w:id="1818" w:name="_Toc366072543"/>
      <w:bookmarkStart w:id="1819" w:name="_Toc339020029"/>
      <w:bookmarkStart w:id="1820" w:name="_Toc365967086"/>
      <w:bookmarkStart w:id="1821" w:name="_Toc336681594"/>
      <w:bookmarkStart w:id="1822" w:name="_Toc331684056"/>
      <w:bookmarkStart w:id="1823" w:name="_Toc341348354"/>
      <w:bookmarkStart w:id="1824" w:name="_Toc342398144"/>
      <w:bookmarkStart w:id="1825" w:name="_Toc339362314"/>
      <w:bookmarkStart w:id="1826" w:name="_Toc333238648"/>
      <w:bookmarkStart w:id="1827" w:name="_Toc382404104"/>
      <w:bookmarkStart w:id="1828" w:name="_Toc336681949"/>
      <w:bookmarkStart w:id="1829" w:name="_Toc339020109"/>
      <w:bookmarkStart w:id="1830" w:name="_Toc343612934"/>
      <w:bookmarkStart w:id="1831" w:name="_Toc330460000"/>
      <w:bookmarkStart w:id="1832" w:name="_Toc339441101"/>
      <w:bookmarkStart w:id="1833" w:name="_Toc340507456"/>
      <w:bookmarkStart w:id="1834" w:name="_Toc342060389"/>
      <w:bookmarkStart w:id="1835" w:name="_Toc339020247"/>
      <w:bookmarkStart w:id="1836" w:name="_Toc342312457"/>
      <w:bookmarkStart w:id="1837" w:name="_Toc332206723"/>
      <w:bookmarkStart w:id="1838" w:name="_Toc365985192"/>
      <w:bookmarkStart w:id="1839" w:name="_Toc333935360"/>
      <w:bookmarkStart w:id="1840" w:name="_Toc14012"/>
      <w:bookmarkStart w:id="1841" w:name="_Toc350756464"/>
      <w:bookmarkStart w:id="1842" w:name="_Toc333237803"/>
      <w:bookmarkStart w:id="1843" w:name="_Toc331512915"/>
      <w:bookmarkStart w:id="1844" w:name="_Toc343247114"/>
      <w:bookmarkStart w:id="1845" w:name="_Toc332270361"/>
      <w:bookmarkStart w:id="1846" w:name="_Toc333935701"/>
      <w:bookmarkStart w:id="1847" w:name="_Toc345312611"/>
      <w:bookmarkStart w:id="1848" w:name="_Toc350438763"/>
      <w:bookmarkStart w:id="1849" w:name="_Toc343248432"/>
      <w:bookmarkStart w:id="1850" w:name="_Toc340677084"/>
      <w:bookmarkStart w:id="1851" w:name="_Toc333237692"/>
      <w:r>
        <w:rPr>
          <w:rFonts w:hint="eastAsia"/>
          <w:color w:val="000000" w:themeColor="text1"/>
          <w:highlight w:val="none"/>
        </w:rPr>
        <w:t>（二）法定代表人（负责人）授权书</w:t>
      </w:r>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p>
    <w:p>
      <w:pPr>
        <w:spacing w:line="360" w:lineRule="auto"/>
        <w:ind w:firstLine="420" w:firstLineChars="200"/>
        <w:rPr>
          <w:rFonts w:ascii="宋体" w:hAnsi="宋体"/>
          <w:bCs/>
          <w:color w:val="000000" w:themeColor="text1"/>
          <w:kern w:val="0"/>
          <w:highlight w:val="none"/>
        </w:rPr>
      </w:pPr>
    </w:p>
    <w:p>
      <w:pPr>
        <w:spacing w:line="360" w:lineRule="auto"/>
        <w:ind w:firstLine="420" w:firstLineChars="200"/>
        <w:rPr>
          <w:color w:val="000000" w:themeColor="text1"/>
          <w:highlight w:val="none"/>
        </w:rPr>
      </w:pPr>
      <w:r>
        <w:rPr>
          <w:rFonts w:hint="eastAsia" w:ascii="宋体" w:hAnsi="宋体"/>
          <w:bCs/>
          <w:color w:val="000000" w:themeColor="text1"/>
          <w:kern w:val="0"/>
          <w:highlight w:val="none"/>
        </w:rPr>
        <w:t>本授权委托书声明：我</w:t>
      </w:r>
      <w:r>
        <w:rPr>
          <w:rFonts w:hint="eastAsia" w:ascii="宋体" w:hAnsi="宋体"/>
          <w:bCs/>
          <w:color w:val="000000" w:themeColor="text1"/>
          <w:kern w:val="0"/>
          <w:highlight w:val="none"/>
          <w:u w:val="single"/>
        </w:rPr>
        <w:t xml:space="preserve">        （单位法定代表人（负责人）姓名）</w:t>
      </w:r>
      <w:r>
        <w:rPr>
          <w:rFonts w:hint="eastAsia" w:ascii="宋体" w:hAnsi="宋体"/>
          <w:bCs/>
          <w:color w:val="000000" w:themeColor="text1"/>
          <w:kern w:val="0"/>
          <w:highlight w:val="none"/>
        </w:rPr>
        <w:t xml:space="preserve"> 系</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的法定代表人（负责人），现授权委托</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w:t>
      </w:r>
      <w:r>
        <w:rPr>
          <w:rFonts w:hint="eastAsia" w:ascii="宋体" w:hAnsi="宋体"/>
          <w:bCs/>
          <w:color w:val="000000" w:themeColor="text1"/>
          <w:kern w:val="0"/>
          <w:highlight w:val="none"/>
          <w:u w:val="single"/>
        </w:rPr>
        <w:t xml:space="preserve">            （代理人姓名）</w:t>
      </w:r>
      <w:r>
        <w:rPr>
          <w:rFonts w:hint="eastAsia" w:ascii="宋体" w:hAnsi="宋体"/>
          <w:bCs/>
          <w:color w:val="000000" w:themeColor="text1"/>
          <w:kern w:val="0"/>
          <w:highlight w:val="none"/>
        </w:rPr>
        <w:t>为我公司代理人，以本公司的名义参加广东业信采购招标有限公司组织的</w:t>
      </w:r>
      <w:r>
        <w:rPr>
          <w:rFonts w:hint="eastAsia"/>
          <w:color w:val="000000" w:themeColor="text1"/>
          <w:szCs w:val="21"/>
          <w:highlight w:val="none"/>
        </w:rPr>
        <w:t>（项目名称：</w:t>
      </w:r>
      <w:r>
        <w:rPr>
          <w:rFonts w:hint="eastAsia"/>
          <w:color w:val="000000" w:themeColor="text1"/>
          <w:szCs w:val="21"/>
          <w:highlight w:val="none"/>
          <w:u w:val="single"/>
        </w:rPr>
        <w:t xml:space="preserve">                      </w:t>
      </w:r>
      <w:r>
        <w:rPr>
          <w:rFonts w:hint="eastAsia"/>
          <w:color w:val="000000" w:themeColor="text1"/>
          <w:szCs w:val="21"/>
          <w:highlight w:val="none"/>
        </w:rPr>
        <w:t>）</w:t>
      </w:r>
      <w:r>
        <w:rPr>
          <w:rFonts w:hint="eastAsia" w:ascii="宋体" w:hAnsi="宋体"/>
          <w:bCs/>
          <w:color w:val="000000" w:themeColor="text1"/>
          <w:highlight w:val="none"/>
        </w:rPr>
        <w:t>招标（</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w:t>
      </w:r>
      <w:r>
        <w:rPr>
          <w:rFonts w:hint="eastAsia" w:ascii="宋体" w:hAnsi="宋体"/>
          <w:bCs/>
          <w:color w:val="000000" w:themeColor="text1"/>
          <w:kern w:val="0"/>
          <w:highlight w:val="none"/>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代理人无转移委托权。</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rPr>
      </w:pP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代理人：</w:t>
      </w:r>
      <w:r>
        <w:rPr>
          <w:rFonts w:hint="eastAsia" w:ascii="宋体" w:hAnsi="宋体"/>
          <w:bCs/>
          <w:color w:val="000000" w:themeColor="text1"/>
          <w:kern w:val="0"/>
          <w:highlight w:val="none"/>
          <w:u w:val="single"/>
        </w:rPr>
        <w:t xml:space="preserve">   </w:t>
      </w:r>
      <w:r>
        <w:rPr>
          <w:rFonts w:ascii="宋体" w:hAnsi="宋体"/>
          <w:bCs/>
          <w:color w:val="000000" w:themeColor="text1"/>
          <w:kern w:val="0"/>
          <w:highlight w:val="none"/>
          <w:u w:val="single"/>
        </w:rPr>
        <w:t xml:space="preserve"> </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性别：</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年龄：</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职务：</w:t>
      </w:r>
      <w:r>
        <w:rPr>
          <w:rFonts w:hint="eastAsia" w:ascii="宋体" w:hAnsi="宋体"/>
          <w:bCs/>
          <w:color w:val="000000" w:themeColor="text1"/>
          <w:kern w:val="0"/>
          <w:highlight w:val="none"/>
          <w:u w:val="single"/>
        </w:rPr>
        <w:t xml:space="preserve">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投标人：</w:t>
      </w:r>
      <w:r>
        <w:rPr>
          <w:rFonts w:hint="eastAsia" w:ascii="宋体" w:hAnsi="宋体"/>
          <w:bCs/>
          <w:color w:val="000000" w:themeColor="text1"/>
          <w:kern w:val="0"/>
          <w:highlight w:val="none"/>
          <w:u w:val="single"/>
        </w:rPr>
        <w:t xml:space="preserve">          （名称并加盖公章）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法定代表人（负责人）：</w:t>
      </w:r>
      <w:r>
        <w:rPr>
          <w:rFonts w:hint="eastAsia" w:ascii="宋体" w:hAnsi="宋体"/>
          <w:bCs/>
          <w:color w:val="000000" w:themeColor="text1"/>
          <w:kern w:val="0"/>
          <w:highlight w:val="none"/>
          <w:u w:val="single"/>
        </w:rPr>
        <w:t xml:space="preserve">    （签字或盖章）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autoSpaceDE w:val="0"/>
        <w:autoSpaceDN w:val="0"/>
        <w:adjustRightInd w:val="0"/>
        <w:snapToGrid w:val="0"/>
        <w:spacing w:line="360" w:lineRule="auto"/>
        <w:ind w:firstLine="630"/>
        <w:rPr>
          <w:rFonts w:ascii="宋体" w:hAnsi="宋体"/>
          <w:bCs/>
          <w:color w:val="000000" w:themeColor="text1"/>
          <w:kern w:val="0"/>
          <w:highlight w:val="none"/>
        </w:rPr>
      </w:pPr>
    </w:p>
    <w:p>
      <w:pPr>
        <w:rPr>
          <w:rFonts w:ascii="宋体" w:hAnsi="宋体"/>
          <w:b/>
          <w:color w:val="000000" w:themeColor="text1"/>
          <w:szCs w:val="21"/>
          <w:highlight w:val="none"/>
        </w:rPr>
      </w:pPr>
      <w:r>
        <w:rPr>
          <w:rFonts w:hint="eastAsia" w:ascii="宋体" w:hAnsi="宋体"/>
          <w:b/>
          <w:color w:val="000000" w:themeColor="text1"/>
          <w:szCs w:val="21"/>
          <w:highlight w:val="none"/>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rPr>
      </w:pPr>
    </w:p>
    <w:p>
      <w:pPr>
        <w:rPr>
          <w:color w:val="000000" w:themeColor="text1"/>
          <w:highlight w:val="none"/>
        </w:rPr>
      </w:pPr>
    </w:p>
    <w:p>
      <w:pPr>
        <w:rPr>
          <w:color w:val="000000" w:themeColor="text1"/>
          <w:highlight w:val="none"/>
        </w:rPr>
      </w:pPr>
      <w:r>
        <w:rPr>
          <w:color w:val="000000" w:themeColor="text1"/>
          <w:highlight w:val="none"/>
        </w:rPr>
        <w:pict>
          <v:shape id="_x0000_s1027" o:spid="_x0000_s1027" o:spt="176" type="#_x0000_t176" style="position:absolute;left:0pt;margin-left:99.75pt;margin-top:-0.05pt;height:137.65pt;width:275.8pt;z-index:251659264;mso-width-relative:page;mso-height-relative:page;"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j2AqQ1wAAAAkBAAAPAAAAAAAAAAEAIAAAACIAAABkcnMvZG93bnJl&#10;di54bWxQSwECFAAUAAAACACHTuJAzN7azzcCAABIBAAADgAAAAAAAAABACAAAAAmAQAAZHJzL2Uy&#10;b0RvYy54bWxQSwUGAAAAAAYABgBZAQAAzwUAAAAA&#10;">
            <v:path/>
            <v:fill focussize="0,0"/>
            <v:stroke joinstyle="miter"/>
            <v:imagedata o:title=""/>
            <o:lock v:ext="edit"/>
            <v:textbox>
              <w:txbxContent>
                <w:p/>
                <w:p/>
                <w:p/>
                <w:p>
                  <w:pPr>
                    <w:jc w:val="center"/>
                  </w:pPr>
                  <w:r>
                    <w:rPr>
                      <w:rFonts w:hint="eastAsia"/>
                    </w:rPr>
                    <w:t>身份证正反面复印件</w:t>
                  </w:r>
                </w:p>
              </w:txbxContent>
            </v:textbox>
          </v:shape>
        </w:pict>
      </w: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pStyle w:val="5"/>
        <w:ind w:firstLine="0"/>
        <w:rPr>
          <w:color w:val="000000" w:themeColor="text1"/>
          <w:highlight w:val="none"/>
        </w:rPr>
      </w:pPr>
    </w:p>
    <w:bookmarkEnd w:id="1711"/>
    <w:p>
      <w:pPr>
        <w:pStyle w:val="4"/>
        <w:numPr>
          <w:ilvl w:val="0"/>
          <w:numId w:val="0"/>
        </w:numPr>
        <w:rPr>
          <w:color w:val="000000" w:themeColor="text1"/>
          <w:highlight w:val="none"/>
        </w:rPr>
      </w:pPr>
      <w:bookmarkStart w:id="1852" w:name="_Toc343248439"/>
      <w:bookmarkStart w:id="1853" w:name="_Toc331512922"/>
      <w:bookmarkStart w:id="1854" w:name="_Toc342060396"/>
      <w:bookmarkStart w:id="1855" w:name="_Toc365985199"/>
      <w:bookmarkStart w:id="1856" w:name="_Toc332270368"/>
      <w:bookmarkStart w:id="1857" w:name="_Toc342296782"/>
      <w:bookmarkStart w:id="1858" w:name="_Toc340672890"/>
      <w:bookmarkStart w:id="1859" w:name="_Toc340677091"/>
      <w:bookmarkStart w:id="1860" w:name="_Toc333237699"/>
      <w:bookmarkStart w:id="1861" w:name="_Toc339019910"/>
      <w:bookmarkStart w:id="1862" w:name="_Toc350756471"/>
      <w:bookmarkStart w:id="1863" w:name="_Toc343247121"/>
      <w:bookmarkStart w:id="1864" w:name="_Toc341348361"/>
      <w:bookmarkStart w:id="1865" w:name="_Toc330460007"/>
      <w:bookmarkStart w:id="1866" w:name="_Toc19243"/>
      <w:bookmarkStart w:id="1867" w:name="_Toc350438770"/>
      <w:bookmarkStart w:id="1868" w:name="_Toc340507463"/>
      <w:bookmarkStart w:id="1869" w:name="_Toc342312464"/>
      <w:bookmarkStart w:id="1870" w:name="_Toc339020036"/>
      <w:bookmarkStart w:id="1871" w:name="_Toc333238655"/>
      <w:bookmarkStart w:id="1872" w:name="_Toc333935708"/>
      <w:bookmarkStart w:id="1873" w:name="_Toc336681956"/>
      <w:bookmarkStart w:id="1874" w:name="_Toc331684063"/>
      <w:bookmarkStart w:id="1875" w:name="_Toc365967093"/>
      <w:bookmarkStart w:id="1876" w:name="_Toc339020254"/>
      <w:bookmarkStart w:id="1877" w:name="_Toc343612941"/>
      <w:bookmarkStart w:id="1878" w:name="_Toc339441108"/>
      <w:bookmarkStart w:id="1879" w:name="_Toc337632379"/>
      <w:bookmarkStart w:id="1880" w:name="_Toc342398151"/>
      <w:bookmarkStart w:id="1881" w:name="_Toc336681601"/>
      <w:bookmarkStart w:id="1882" w:name="_Toc366072550"/>
      <w:bookmarkStart w:id="1883" w:name="_Toc333237810"/>
      <w:bookmarkStart w:id="1884" w:name="_Toc333935367"/>
      <w:bookmarkStart w:id="1885" w:name="_Toc345312618"/>
      <w:bookmarkStart w:id="1886" w:name="_Toc339020116"/>
      <w:bookmarkStart w:id="1887" w:name="_Toc332206730"/>
      <w:bookmarkStart w:id="1888" w:name="_Toc339362321"/>
      <w:r>
        <w:rPr>
          <w:rFonts w:hint="eastAsia"/>
          <w:color w:val="000000" w:themeColor="text1"/>
          <w:highlight w:val="none"/>
        </w:rPr>
        <w:t>附件一：投标</w:t>
      </w:r>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r>
        <w:rPr>
          <w:rFonts w:hint="eastAsia"/>
          <w:color w:val="000000" w:themeColor="text1"/>
          <w:highlight w:val="none"/>
        </w:rPr>
        <w:t>函</w:t>
      </w:r>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p>
    <w:p>
      <w:pPr>
        <w:widowControl/>
        <w:spacing w:line="400" w:lineRule="exact"/>
        <w:jc w:val="left"/>
        <w:rPr>
          <w:rFonts w:ascii="宋体" w:hAnsi="宋体" w:cs="宋体"/>
          <w:b/>
          <w:color w:val="000000" w:themeColor="text1"/>
          <w:kern w:val="0"/>
          <w:sz w:val="24"/>
          <w:highlight w:val="none"/>
          <w:u w:val="single"/>
        </w:rPr>
      </w:pPr>
      <w:r>
        <w:rPr>
          <w:rFonts w:ascii="宋体" w:hAnsi="宋体"/>
          <w:b/>
          <w:bCs/>
          <w:color w:val="000000" w:themeColor="text1"/>
          <w:highlight w:val="none"/>
        </w:rPr>
        <w:t>致</w:t>
      </w:r>
      <w:r>
        <w:rPr>
          <w:rFonts w:ascii="宋体" w:hAnsi="宋体"/>
          <w:b/>
          <w:bCs/>
          <w:color w:val="000000" w:themeColor="text1"/>
          <w:highlight w:val="none"/>
          <w:u w:val="single"/>
        </w:rPr>
        <w:t>（采购人</w:t>
      </w:r>
      <w:r>
        <w:rPr>
          <w:rFonts w:hint="eastAsia" w:ascii="宋体" w:hAnsi="宋体"/>
          <w:b/>
          <w:bCs/>
          <w:color w:val="000000" w:themeColor="text1"/>
          <w:highlight w:val="none"/>
          <w:u w:val="single"/>
        </w:rPr>
        <w:t>名称</w:t>
      </w:r>
      <w:r>
        <w:rPr>
          <w:rFonts w:ascii="宋体" w:hAnsi="宋体"/>
          <w:b/>
          <w:bCs/>
          <w:color w:val="000000" w:themeColor="text1"/>
          <w:highlight w:val="none"/>
          <w:u w:val="single"/>
        </w:rPr>
        <w:t>）            </w:t>
      </w:r>
      <w:r>
        <w:rPr>
          <w:rFonts w:ascii="宋体" w:hAnsi="宋体" w:cs="宋体"/>
          <w:b/>
          <w:color w:val="000000" w:themeColor="text1"/>
          <w:kern w:val="0"/>
          <w:sz w:val="24"/>
          <w:highlight w:val="none"/>
        </w:rPr>
        <w:t xml:space="preserve">： </w:t>
      </w:r>
    </w:p>
    <w:p>
      <w:pPr>
        <w:adjustRightInd w:val="0"/>
        <w:snapToGrid w:val="0"/>
        <w:spacing w:line="400" w:lineRule="exact"/>
        <w:ind w:firstLine="420"/>
        <w:rPr>
          <w:rFonts w:ascii="宋体" w:hAnsi="宋体"/>
          <w:b/>
          <w:bCs/>
          <w:color w:val="000000" w:themeColor="text1"/>
          <w:highlight w:val="none"/>
        </w:rPr>
      </w:pPr>
      <w:r>
        <w:rPr>
          <w:rFonts w:hint="eastAsia" w:ascii="宋体" w:hAnsi="宋体"/>
          <w:b/>
          <w:bCs/>
          <w:color w:val="000000" w:themeColor="text1"/>
          <w:highlight w:val="none"/>
        </w:rPr>
        <w:t>根据贵方就</w:t>
      </w:r>
      <w:r>
        <w:rPr>
          <w:rFonts w:hint="eastAsia" w:ascii="宋体" w:hAnsi="宋体"/>
          <w:b/>
          <w:bCs/>
          <w:color w:val="000000" w:themeColor="text1"/>
          <w:highlight w:val="none"/>
          <w:u w:val="single"/>
        </w:rPr>
        <w:t xml:space="preserve">   （</w:t>
      </w:r>
      <w:r>
        <w:rPr>
          <w:rFonts w:hint="eastAsia" w:hAnsi="宋体" w:cs="宋体"/>
          <w:b/>
          <w:color w:val="000000" w:themeColor="text1"/>
          <w:szCs w:val="21"/>
          <w:highlight w:val="none"/>
          <w:u w:val="single"/>
        </w:rPr>
        <w:t>项目名称）</w:t>
      </w:r>
      <w:r>
        <w:rPr>
          <w:rFonts w:hint="eastAsia" w:ascii="宋体" w:hAnsi="宋体" w:cs="宋体"/>
          <w:b/>
          <w:color w:val="000000" w:themeColor="text1"/>
          <w:szCs w:val="21"/>
          <w:highlight w:val="none"/>
          <w:u w:val="single"/>
        </w:rPr>
        <w:t xml:space="preserve">    </w:t>
      </w:r>
      <w:r>
        <w:rPr>
          <w:rFonts w:hint="eastAsia" w:ascii="宋体" w:hAnsi="宋体"/>
          <w:b/>
          <w:bCs/>
          <w:color w:val="000000" w:themeColor="text1"/>
          <w:highlight w:val="none"/>
        </w:rPr>
        <w:t>的投标邀请（项目编号:</w:t>
      </w:r>
      <w:r>
        <w:rPr>
          <w:rFonts w:hint="eastAsia" w:ascii="宋体" w:hAnsi="宋体"/>
          <w:b/>
          <w:bCs/>
          <w:color w:val="000000" w:themeColor="text1"/>
          <w:highlight w:val="none"/>
          <w:u w:val="single"/>
        </w:rPr>
        <w:t xml:space="preserve"> </w:t>
      </w:r>
      <w:r>
        <w:rPr>
          <w:rFonts w:ascii="宋体" w:hAnsi="宋体"/>
          <w:b/>
          <w:bCs/>
          <w:color w:val="000000" w:themeColor="text1"/>
          <w:highlight w:val="none"/>
          <w:u w:val="single"/>
        </w:rPr>
        <w:t xml:space="preserve">         </w:t>
      </w:r>
      <w:r>
        <w:rPr>
          <w:rFonts w:hint="eastAsia" w:ascii="宋体" w:hAnsi="宋体"/>
          <w:b/>
          <w:bCs/>
          <w:color w:val="000000" w:themeColor="text1"/>
          <w:highlight w:val="none"/>
        </w:rPr>
        <w:t>），我方正式响应投标并提交投标文件</w:t>
      </w:r>
      <w:r>
        <w:rPr>
          <w:rFonts w:ascii="宋体" w:hAnsi="宋体"/>
          <w:b/>
          <w:bCs/>
          <w:color w:val="000000" w:themeColor="text1"/>
          <w:highlight w:val="none"/>
          <w:u w:val="single"/>
        </w:rPr>
        <w:t xml:space="preserve">   </w:t>
      </w:r>
      <w:r>
        <w:rPr>
          <w:rFonts w:hint="eastAsia" w:ascii="宋体" w:hAnsi="宋体"/>
          <w:b/>
          <w:bCs/>
          <w:color w:val="000000" w:themeColor="text1"/>
          <w:highlight w:val="none"/>
        </w:rPr>
        <w:t>份正本和</w:t>
      </w:r>
      <w:r>
        <w:rPr>
          <w:rFonts w:ascii="宋体" w:hAnsi="宋体"/>
          <w:b/>
          <w:bCs/>
          <w:color w:val="000000" w:themeColor="text1"/>
          <w:highlight w:val="none"/>
          <w:u w:val="single"/>
        </w:rPr>
        <w:t xml:space="preserve">   </w:t>
      </w:r>
      <w:r>
        <w:rPr>
          <w:rFonts w:hint="eastAsia" w:ascii="宋体" w:hAnsi="宋体"/>
          <w:b/>
          <w:bCs/>
          <w:color w:val="000000" w:themeColor="text1"/>
          <w:highlight w:val="none"/>
        </w:rPr>
        <w:t>份副本，</w:t>
      </w:r>
      <w:r>
        <w:rPr>
          <w:rFonts w:hint="eastAsia" w:ascii="宋体" w:hAnsi="宋体"/>
          <w:b/>
          <w:color w:val="000000" w:themeColor="text1"/>
          <w:kern w:val="0"/>
          <w:szCs w:val="21"/>
          <w:highlight w:val="none"/>
        </w:rPr>
        <w:t>电子文件</w:t>
      </w:r>
      <w:r>
        <w:rPr>
          <w:rFonts w:hint="eastAsia" w:ascii="宋体" w:hAnsi="宋体"/>
          <w:b/>
          <w:color w:val="000000" w:themeColor="text1"/>
          <w:kern w:val="0"/>
          <w:szCs w:val="21"/>
          <w:highlight w:val="none"/>
          <w:u w:val="single"/>
        </w:rPr>
        <w:t xml:space="preserve">     </w:t>
      </w:r>
      <w:r>
        <w:rPr>
          <w:rFonts w:hint="eastAsia" w:ascii="宋体" w:hAnsi="宋体"/>
          <w:b/>
          <w:color w:val="000000" w:themeColor="text1"/>
          <w:kern w:val="0"/>
          <w:szCs w:val="21"/>
          <w:highlight w:val="none"/>
        </w:rPr>
        <w:t>份</w:t>
      </w:r>
      <w:r>
        <w:rPr>
          <w:rFonts w:hint="eastAsia" w:ascii="宋体" w:hAnsi="宋体"/>
          <w:b/>
          <w:bCs/>
          <w:color w:val="000000" w:themeColor="text1"/>
          <w:highlight w:val="none"/>
        </w:rPr>
        <w:t>。</w:t>
      </w:r>
    </w:p>
    <w:p>
      <w:pPr>
        <w:widowControl/>
        <w:tabs>
          <w:tab w:val="left" w:pos="840"/>
        </w:tabs>
        <w:adjustRightInd w:val="0"/>
        <w:snapToGrid w:val="0"/>
        <w:rPr>
          <w:rFonts w:ascii="宋体" w:hAnsi="宋体"/>
          <w:b/>
          <w:bCs/>
          <w:color w:val="000000" w:themeColor="text1"/>
          <w:highlight w:val="none"/>
        </w:rPr>
      </w:pPr>
    </w:p>
    <w:p>
      <w:pPr>
        <w:widowControl/>
        <w:tabs>
          <w:tab w:val="left" w:pos="502"/>
        </w:tabs>
        <w:adjustRightInd w:val="0"/>
        <w:snapToGrid w:val="0"/>
        <w:spacing w:line="360" w:lineRule="auto"/>
        <w:ind w:left="374" w:leftChars="177" w:hanging="2" w:hangingChars="1"/>
        <w:rPr>
          <w:rFonts w:ascii="宋体" w:hAnsi="宋体"/>
          <w:b/>
          <w:color w:val="000000" w:themeColor="text1"/>
          <w:highlight w:val="none"/>
        </w:rPr>
      </w:pPr>
      <w:r>
        <w:rPr>
          <w:rFonts w:hint="eastAsia" w:ascii="宋体" w:hAnsi="宋体"/>
          <w:b/>
          <w:bCs/>
          <w:color w:val="000000" w:themeColor="text1"/>
          <w:highlight w:val="none"/>
        </w:rPr>
        <w:t>以</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形式提交的投标保证金，金额为大写</w:t>
      </w:r>
      <w:r>
        <w:rPr>
          <w:rFonts w:hint="eastAsia" w:ascii="宋体"/>
          <w:b/>
          <w:color w:val="000000" w:themeColor="text1"/>
          <w:highlight w:val="none"/>
        </w:rPr>
        <w:t>人民币</w:t>
      </w:r>
      <w:r>
        <w:rPr>
          <w:rFonts w:hint="eastAsia" w:ascii="宋体"/>
          <w:b/>
          <w:color w:val="000000" w:themeColor="text1"/>
          <w:highlight w:val="none"/>
          <w:u w:val="single"/>
        </w:rPr>
        <w:t xml:space="preserve">                 </w:t>
      </w:r>
      <w:r>
        <w:rPr>
          <w:rFonts w:hint="eastAsia" w:ascii="宋体"/>
          <w:b/>
          <w:color w:val="000000" w:themeColor="text1"/>
          <w:highlight w:val="none"/>
        </w:rPr>
        <w:t>（</w:t>
      </w:r>
      <w:r>
        <w:rPr>
          <w:rFonts w:hint="eastAsia" w:ascii="宋体"/>
          <w:b/>
          <w:bCs/>
          <w:color w:val="000000" w:themeColor="text1"/>
          <w:highlight w:val="none"/>
        </w:rPr>
        <w:t>￥</w:t>
      </w:r>
      <w:r>
        <w:rPr>
          <w:rFonts w:hint="eastAsia" w:ascii="宋体"/>
          <w:b/>
          <w:bCs/>
          <w:color w:val="000000" w:themeColor="text1"/>
          <w:highlight w:val="none"/>
          <w:u w:val="single"/>
        </w:rPr>
        <w:t xml:space="preserve">         </w:t>
      </w:r>
      <w:r>
        <w:rPr>
          <w:rFonts w:hint="eastAsia" w:ascii="宋体"/>
          <w:b/>
          <w:bCs/>
          <w:color w:val="000000" w:themeColor="text1"/>
          <w:highlight w:val="none"/>
        </w:rPr>
        <w:t>）。</w:t>
      </w:r>
    </w:p>
    <w:p>
      <w:pPr>
        <w:widowControl/>
        <w:tabs>
          <w:tab w:val="left" w:pos="502"/>
        </w:tabs>
        <w:adjustRightInd w:val="0"/>
        <w:snapToGrid w:val="0"/>
        <w:spacing w:line="360" w:lineRule="auto"/>
        <w:ind w:left="374" w:leftChars="177" w:hanging="2" w:hangingChars="1"/>
        <w:rPr>
          <w:rFonts w:ascii="宋体" w:hAnsi="宋体"/>
          <w:bCs/>
          <w:color w:val="000000" w:themeColor="text1"/>
          <w:highlight w:val="none"/>
        </w:rPr>
      </w:pPr>
      <w:r>
        <w:rPr>
          <w:rFonts w:hint="eastAsia" w:ascii="宋体" w:hAnsi="宋体"/>
          <w:b/>
          <w:bCs/>
          <w:color w:val="000000" w:themeColor="text1"/>
          <w:highlight w:val="none"/>
        </w:rPr>
        <w:t>据此函，签字代表宣布同意如下：</w:t>
      </w:r>
    </w:p>
    <w:p>
      <w:pPr>
        <w:widowControl/>
        <w:numPr>
          <w:ilvl w:val="0"/>
          <w:numId w:val="47"/>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color w:val="000000" w:themeColor="text1"/>
          <w:highlight w:val="none"/>
        </w:rPr>
        <w:t>所附投标价格表中规定的应提交和交付的货物投标总价为人民币：</w:t>
      </w:r>
      <w:r>
        <w:rPr>
          <w:rFonts w:hint="eastAsia" w:ascii="宋体" w:hAnsi="宋体"/>
          <w:color w:val="000000" w:themeColor="text1"/>
          <w:highlight w:val="none"/>
          <w:u w:val="single"/>
        </w:rPr>
        <w:t xml:space="preserve"> （用文字和数字表示的投标总价）  </w:t>
      </w:r>
      <w:r>
        <w:rPr>
          <w:rFonts w:hint="eastAsia" w:ascii="宋体" w:hAnsi="宋体"/>
          <w:color w:val="000000" w:themeColor="text1"/>
          <w:highlight w:val="none"/>
        </w:rPr>
        <w:t>。</w:t>
      </w:r>
    </w:p>
    <w:p>
      <w:pPr>
        <w:widowControl/>
        <w:numPr>
          <w:ilvl w:val="0"/>
          <w:numId w:val="47"/>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单位负责人为同一人或者存在直接控股、管理关系的不同供应商，不得同时参加本采购项目投标。为本项目提供整体设计、规范编制或者项目管理、监理、检测等服务的供应商，不得再参与本项目投标。</w:t>
      </w:r>
    </w:p>
    <w:p>
      <w:pPr>
        <w:widowControl/>
        <w:numPr>
          <w:ilvl w:val="0"/>
          <w:numId w:val="47"/>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本次投标所报内容完全按照招标文件要求填报，所有内容都是真实、准确的。</w:t>
      </w:r>
    </w:p>
    <w:p>
      <w:pPr>
        <w:widowControl/>
        <w:numPr>
          <w:ilvl w:val="0"/>
          <w:numId w:val="47"/>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投标人将按招标文件的规定履行全部合同责任和义务。</w:t>
      </w:r>
    </w:p>
    <w:p>
      <w:pPr>
        <w:widowControl/>
        <w:numPr>
          <w:ilvl w:val="0"/>
          <w:numId w:val="47"/>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投标人已详细审查全部招标文件，包括修改文件（如有的话）以及全部参考资料和有关附件。我们完全理解并同意放弃对这方面有不明及误解的权利。</w:t>
      </w:r>
    </w:p>
    <w:p>
      <w:pPr>
        <w:widowControl/>
        <w:numPr>
          <w:ilvl w:val="0"/>
          <w:numId w:val="47"/>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本次投标自开标日起有效期为90天。</w:t>
      </w:r>
    </w:p>
    <w:p>
      <w:pPr>
        <w:widowControl/>
        <w:numPr>
          <w:ilvl w:val="0"/>
          <w:numId w:val="47"/>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如果在规定的开标时间后，投标人在投标有效期内撤回投标文件，投标保证金将被贵</w:t>
      </w:r>
      <w:r>
        <w:rPr>
          <w:rFonts w:hint="eastAsia" w:ascii="宋体" w:hAnsi="宋体"/>
          <w:color w:val="000000" w:themeColor="text1"/>
          <w:szCs w:val="21"/>
          <w:highlight w:val="none"/>
        </w:rPr>
        <w:t>方</w:t>
      </w:r>
      <w:r>
        <w:rPr>
          <w:rFonts w:hint="eastAsia" w:ascii="宋体" w:hAnsi="宋体"/>
          <w:bCs/>
          <w:color w:val="000000" w:themeColor="text1"/>
          <w:highlight w:val="none"/>
        </w:rPr>
        <w:t>不予退还。</w:t>
      </w:r>
    </w:p>
    <w:p>
      <w:pPr>
        <w:widowControl/>
        <w:numPr>
          <w:ilvl w:val="0"/>
          <w:numId w:val="47"/>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投标人同意提供按照贵方可能要求与其投标有关的一切数据或资料，完全理解贵方不一定接受最低价的投标或收到的任何投标。</w:t>
      </w:r>
    </w:p>
    <w:p>
      <w:pPr>
        <w:widowControl/>
        <w:numPr>
          <w:ilvl w:val="0"/>
          <w:numId w:val="47"/>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与本投标有关的一切正式往来通讯请寄至投标文件封面指定地址、联系方式。</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 xml:space="preserve">投标人法定代表人（负责人）或授权代理人（签字）： </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日期：</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ascii="宋体" w:hAnsi="宋体"/>
          <w:bCs/>
          <w:color w:val="000000" w:themeColor="text1"/>
          <w:highlight w:val="none"/>
          <w:u w:val="single"/>
        </w:rPr>
        <w:t xml:space="preserve"> </w:t>
      </w:r>
      <w:r>
        <w:rPr>
          <w:rFonts w:ascii="宋体" w:hAnsi="宋体"/>
          <w:bCs/>
          <w:color w:val="000000" w:themeColor="text1"/>
          <w:highlight w:val="none"/>
        </w:rPr>
        <w:t xml:space="preserve"> </w:t>
      </w:r>
      <w:r>
        <w:rPr>
          <w:rFonts w:hint="eastAsia" w:ascii="宋体" w:hAnsi="宋体"/>
          <w:bCs/>
          <w:color w:val="000000" w:themeColor="text1"/>
          <w:highlight w:val="none"/>
        </w:rPr>
        <w:t>年</w:t>
      </w:r>
      <w:r>
        <w:rPr>
          <w:rFonts w:ascii="宋体" w:hAnsi="宋体"/>
          <w:bCs/>
          <w:color w:val="000000" w:themeColor="text1"/>
          <w:highlight w:val="none"/>
          <w:u w:val="single"/>
        </w:rPr>
        <w:t xml:space="preserve">     </w:t>
      </w:r>
      <w:r>
        <w:rPr>
          <w:rFonts w:hint="eastAsia" w:ascii="宋体" w:hAnsi="宋体"/>
          <w:bCs/>
          <w:color w:val="000000" w:themeColor="text1"/>
          <w:highlight w:val="none"/>
        </w:rPr>
        <w:t>月</w:t>
      </w:r>
      <w:r>
        <w:rPr>
          <w:rFonts w:ascii="宋体" w:hAnsi="宋体"/>
          <w:bCs/>
          <w:color w:val="000000" w:themeColor="text1"/>
          <w:highlight w:val="none"/>
        </w:rPr>
        <w:t xml:space="preserve"> </w:t>
      </w:r>
      <w:r>
        <w:rPr>
          <w:rFonts w:ascii="宋体" w:hAnsi="宋体"/>
          <w:bCs/>
          <w:color w:val="000000" w:themeColor="text1"/>
          <w:highlight w:val="none"/>
          <w:u w:val="single"/>
        </w:rPr>
        <w:t xml:space="preserve">    </w:t>
      </w:r>
      <w:r>
        <w:rPr>
          <w:rFonts w:hint="eastAsia" w:ascii="宋体" w:hAnsi="宋体"/>
          <w:bCs/>
          <w:color w:val="000000" w:themeColor="text1"/>
          <w:highlight w:val="none"/>
        </w:rPr>
        <w:t>日</w:t>
      </w:r>
      <w:r>
        <w:rPr>
          <w:rFonts w:ascii="宋体" w:hAnsi="宋体"/>
          <w:bCs/>
          <w:color w:val="000000" w:themeColor="text1"/>
          <w:highlight w:val="none"/>
        </w:rPr>
        <w:t xml:space="preserve">   </w:t>
      </w:r>
    </w:p>
    <w:p>
      <w:pPr>
        <w:pStyle w:val="24"/>
        <w:spacing w:line="400" w:lineRule="exact"/>
        <w:rPr>
          <w:rFonts w:hAnsi="宋体"/>
          <w:color w:val="000000" w:themeColor="text1"/>
          <w:highlight w:val="none"/>
        </w:rPr>
      </w:pPr>
      <w:r>
        <w:rPr>
          <w:rFonts w:hint="eastAsia" w:hAnsi="宋体"/>
          <w:color w:val="000000" w:themeColor="text1"/>
          <w:highlight w:val="none"/>
        </w:rPr>
        <w:t>注：本投标函为投标人响应本次招标项目的郑重承诺，投标人不得改动且必须满足。</w:t>
      </w:r>
    </w:p>
    <w:p>
      <w:pPr>
        <w:pStyle w:val="24"/>
        <w:spacing w:line="400" w:lineRule="exact"/>
        <w:rPr>
          <w:rFonts w:hAnsi="宋体"/>
          <w:color w:val="000000" w:themeColor="text1"/>
          <w:highlight w:val="none"/>
        </w:rPr>
      </w:pPr>
    </w:p>
    <w:p>
      <w:pPr>
        <w:pStyle w:val="24"/>
        <w:spacing w:line="400" w:lineRule="exact"/>
        <w:rPr>
          <w:rFonts w:hAnsi="宋体"/>
          <w:color w:val="000000" w:themeColor="text1"/>
          <w:highlight w:val="none"/>
        </w:rPr>
      </w:pPr>
    </w:p>
    <w:p>
      <w:pPr>
        <w:pStyle w:val="4"/>
        <w:numPr>
          <w:ilvl w:val="0"/>
          <w:numId w:val="0"/>
        </w:numPr>
        <w:spacing w:line="400" w:lineRule="exact"/>
        <w:rPr>
          <w:color w:val="000000" w:themeColor="text1"/>
          <w:highlight w:val="none"/>
        </w:rPr>
      </w:pPr>
      <w:bookmarkStart w:id="1889" w:name="_Hlt16935467"/>
      <w:bookmarkEnd w:id="1889"/>
      <w:bookmarkStart w:id="1890" w:name="_Toc336681957"/>
      <w:bookmarkStart w:id="1891" w:name="_Toc339020037"/>
      <w:bookmarkStart w:id="1892" w:name="_Toc332270369"/>
      <w:bookmarkStart w:id="1893" w:name="_Toc339020255"/>
      <w:bookmarkStart w:id="1894" w:name="_Toc340672891"/>
      <w:bookmarkStart w:id="1895" w:name="_Toc2316"/>
      <w:bookmarkStart w:id="1896" w:name="_Toc342312465"/>
      <w:bookmarkStart w:id="1897" w:name="_Toc333237700"/>
      <w:bookmarkStart w:id="1898" w:name="_Toc332206731"/>
      <w:bookmarkStart w:id="1899" w:name="_Toc333935709"/>
      <w:bookmarkStart w:id="1900" w:name="_Toc365967094"/>
      <w:bookmarkStart w:id="1901" w:name="_Toc350756472"/>
      <w:bookmarkStart w:id="1902" w:name="_Toc340507464"/>
      <w:bookmarkStart w:id="1903" w:name="_Toc342398152"/>
      <w:bookmarkStart w:id="1904" w:name="_Toc365985200"/>
      <w:bookmarkStart w:id="1905" w:name="_Toc341348362"/>
      <w:bookmarkStart w:id="1906" w:name="_Toc339019911"/>
      <w:bookmarkStart w:id="1907" w:name="_Toc342060397"/>
      <w:bookmarkStart w:id="1908" w:name="_Toc331512923"/>
      <w:bookmarkStart w:id="1909" w:name="_Toc337632380"/>
      <w:bookmarkStart w:id="1910" w:name="_Toc350438771"/>
      <w:bookmarkStart w:id="1911" w:name="_Toc343248440"/>
      <w:bookmarkStart w:id="1912" w:name="_Toc78816017"/>
      <w:bookmarkStart w:id="1913" w:name="_Toc345312619"/>
      <w:bookmarkStart w:id="1914" w:name="_Toc331684064"/>
      <w:bookmarkStart w:id="1915" w:name="_Toc342296783"/>
      <w:bookmarkStart w:id="1916" w:name="_Toc343247122"/>
      <w:bookmarkStart w:id="1917" w:name="_Toc333935368"/>
      <w:bookmarkStart w:id="1918" w:name="_Toc330460008"/>
      <w:bookmarkStart w:id="1919" w:name="_Toc339441109"/>
      <w:bookmarkStart w:id="1920" w:name="_Toc336681602"/>
      <w:bookmarkStart w:id="1921" w:name="_Toc340677092"/>
      <w:bookmarkStart w:id="1922" w:name="_Toc339020117"/>
      <w:bookmarkStart w:id="1923" w:name="_Toc333237811"/>
      <w:bookmarkStart w:id="1924" w:name="_Toc366072551"/>
      <w:bookmarkStart w:id="1925" w:name="_Toc339362322"/>
      <w:bookmarkStart w:id="1926" w:name="_Toc343612942"/>
      <w:bookmarkStart w:id="1927" w:name="_Toc333238656"/>
      <w:r>
        <w:rPr>
          <w:rFonts w:hint="eastAsia"/>
          <w:color w:val="000000" w:themeColor="text1"/>
          <w:highlight w:val="none"/>
        </w:rPr>
        <w:t>附件二：开标一览表</w:t>
      </w:r>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p>
    <w:p>
      <w:pPr>
        <w:adjustRightInd w:val="0"/>
        <w:snapToGrid w:val="0"/>
        <w:spacing w:line="360" w:lineRule="auto"/>
        <w:jc w:val="left"/>
        <w:rPr>
          <w:rFonts w:ascii="宋体" w:hAnsi="宋体"/>
          <w:bCs/>
          <w:color w:val="000000" w:themeColor="text1"/>
          <w:highlight w:val="none"/>
        </w:rPr>
      </w:pPr>
      <w:bookmarkStart w:id="1928" w:name="_Hlk534184967"/>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bookmarkEnd w:id="1928"/>
    </w:p>
    <w:tbl>
      <w:tblPr>
        <w:tblStyle w:val="47"/>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2873"/>
        <w:gridCol w:w="2719"/>
        <w:gridCol w:w="1673"/>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1179"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项目编号</w:t>
            </w:r>
          </w:p>
        </w:tc>
        <w:tc>
          <w:tcPr>
            <w:tcW w:w="2873"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项目名称</w:t>
            </w:r>
          </w:p>
        </w:tc>
        <w:tc>
          <w:tcPr>
            <w:tcW w:w="2719" w:type="dxa"/>
            <w:vAlign w:val="center"/>
          </w:tcPr>
          <w:p>
            <w:pPr>
              <w:jc w:val="center"/>
              <w:rPr>
                <w:rFonts w:ascii="宋体" w:hAnsi="宋体"/>
                <w:bCs/>
                <w:color w:val="000000" w:themeColor="text1"/>
                <w:highlight w:val="none"/>
              </w:rPr>
            </w:pPr>
            <w:r>
              <w:rPr>
                <w:rFonts w:hint="eastAsia" w:ascii="宋体" w:hAnsi="宋体"/>
                <w:bCs/>
                <w:color w:val="000000" w:themeColor="text1"/>
                <w:highlight w:val="none"/>
              </w:rPr>
              <w:t>投标总价</w:t>
            </w:r>
          </w:p>
        </w:tc>
        <w:tc>
          <w:tcPr>
            <w:tcW w:w="1673" w:type="dxa"/>
            <w:vAlign w:val="center"/>
          </w:tcPr>
          <w:p>
            <w:pPr>
              <w:jc w:val="center"/>
              <w:rPr>
                <w:rFonts w:ascii="宋体" w:hAnsi="宋体"/>
                <w:bCs/>
                <w:color w:val="000000" w:themeColor="text1"/>
                <w:highlight w:val="none"/>
              </w:rPr>
            </w:pPr>
            <w:r>
              <w:rPr>
                <w:rFonts w:hint="eastAsia" w:ascii="宋体" w:hAnsi="宋体"/>
                <w:bCs/>
                <w:color w:val="000000" w:themeColor="text1"/>
                <w:highlight w:val="none"/>
                <w:lang w:eastAsia="zh-CN"/>
              </w:rPr>
              <w:t>完工</w:t>
            </w:r>
            <w:r>
              <w:rPr>
                <w:rFonts w:hint="eastAsia" w:ascii="宋体" w:hAnsi="宋体"/>
                <w:bCs/>
                <w:color w:val="000000" w:themeColor="text1"/>
                <w:highlight w:val="none"/>
              </w:rPr>
              <w:t>期</w:t>
            </w:r>
          </w:p>
        </w:tc>
        <w:tc>
          <w:tcPr>
            <w:tcW w:w="689"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1179" w:type="dxa"/>
            <w:vAlign w:val="center"/>
          </w:tcPr>
          <w:p>
            <w:pPr>
              <w:adjustRightInd w:val="0"/>
              <w:snapToGrid w:val="0"/>
              <w:spacing w:line="300" w:lineRule="exact"/>
              <w:jc w:val="center"/>
              <w:rPr>
                <w:rFonts w:ascii="宋体" w:hAnsi="宋体"/>
                <w:bCs/>
                <w:color w:val="000000" w:themeColor="text1"/>
                <w:highlight w:val="none"/>
              </w:rPr>
            </w:pPr>
          </w:p>
        </w:tc>
        <w:tc>
          <w:tcPr>
            <w:tcW w:w="2873" w:type="dxa"/>
            <w:vAlign w:val="center"/>
          </w:tcPr>
          <w:p>
            <w:pPr>
              <w:adjustRightInd w:val="0"/>
              <w:snapToGrid w:val="0"/>
              <w:spacing w:line="300" w:lineRule="exact"/>
              <w:jc w:val="center"/>
              <w:rPr>
                <w:rFonts w:ascii="宋体" w:hAnsi="宋体"/>
                <w:bCs/>
                <w:color w:val="000000" w:themeColor="text1"/>
                <w:highlight w:val="none"/>
              </w:rPr>
            </w:pPr>
          </w:p>
        </w:tc>
        <w:tc>
          <w:tcPr>
            <w:tcW w:w="2719" w:type="dxa"/>
            <w:vAlign w:val="center"/>
          </w:tcPr>
          <w:p>
            <w:pPr>
              <w:spacing w:line="260" w:lineRule="exact"/>
              <w:rPr>
                <w:rFonts w:ascii="宋体" w:hAnsi="宋体"/>
                <w:bCs/>
                <w:color w:val="000000" w:themeColor="text1"/>
                <w:highlight w:val="none"/>
              </w:rPr>
            </w:pPr>
            <w:r>
              <w:rPr>
                <w:rFonts w:hint="eastAsia" w:ascii="宋体" w:hAnsi="宋体"/>
                <w:bCs/>
                <w:color w:val="000000" w:themeColor="text1"/>
                <w:highlight w:val="none"/>
              </w:rPr>
              <w:t>大写：</w:t>
            </w:r>
          </w:p>
          <w:p>
            <w:pPr>
              <w:spacing w:line="260" w:lineRule="exact"/>
              <w:rPr>
                <w:rFonts w:ascii="宋体" w:hAnsi="宋体"/>
                <w:bCs/>
                <w:color w:val="000000" w:themeColor="text1"/>
                <w:highlight w:val="none"/>
              </w:rPr>
            </w:pPr>
          </w:p>
          <w:p>
            <w:pPr>
              <w:spacing w:line="260" w:lineRule="exact"/>
              <w:rPr>
                <w:rFonts w:ascii="宋体" w:hAnsi="宋体"/>
                <w:bCs/>
                <w:color w:val="000000" w:themeColor="text1"/>
                <w:highlight w:val="none"/>
              </w:rPr>
            </w:pPr>
          </w:p>
          <w:p>
            <w:pPr>
              <w:spacing w:line="260" w:lineRule="exact"/>
              <w:rPr>
                <w:rFonts w:ascii="宋体" w:hAnsi="宋体"/>
                <w:bCs/>
                <w:color w:val="000000" w:themeColor="text1"/>
                <w:highlight w:val="none"/>
              </w:rPr>
            </w:pPr>
            <w:r>
              <w:rPr>
                <w:rFonts w:hint="eastAsia" w:ascii="宋体" w:hAnsi="宋体"/>
                <w:bCs/>
                <w:color w:val="000000" w:themeColor="text1"/>
                <w:highlight w:val="none"/>
              </w:rPr>
              <w:t>小写：</w:t>
            </w:r>
          </w:p>
        </w:tc>
        <w:tc>
          <w:tcPr>
            <w:tcW w:w="1673" w:type="dxa"/>
            <w:vAlign w:val="center"/>
          </w:tcPr>
          <w:p>
            <w:pPr>
              <w:topLinePunct/>
              <w:jc w:val="left"/>
              <w:rPr>
                <w:rFonts w:ascii="宋体" w:hAnsi="宋体"/>
                <w:bCs/>
                <w:color w:val="000000" w:themeColor="text1"/>
                <w:highlight w:val="none"/>
                <w:u w:val="single"/>
              </w:rPr>
            </w:pPr>
          </w:p>
        </w:tc>
        <w:tc>
          <w:tcPr>
            <w:tcW w:w="689" w:type="dxa"/>
            <w:vAlign w:val="center"/>
          </w:tcPr>
          <w:p>
            <w:pPr>
              <w:rPr>
                <w:rFonts w:ascii="宋体" w:hAnsi="宋体"/>
                <w:bCs/>
                <w:color w:val="000000" w:themeColor="text1"/>
                <w:highlight w:val="none"/>
              </w:rPr>
            </w:pPr>
          </w:p>
        </w:tc>
      </w:tr>
    </w:tbl>
    <w:p>
      <w:pPr>
        <w:spacing w:line="360" w:lineRule="auto"/>
        <w:rPr>
          <w:rFonts w:ascii="宋体" w:hAnsi="宋体"/>
          <w:bCs/>
          <w:color w:val="000000" w:themeColor="text1"/>
          <w:highlight w:val="none"/>
        </w:rPr>
      </w:pPr>
      <w:r>
        <w:rPr>
          <w:rFonts w:hint="eastAsia" w:ascii="宋体" w:hAnsi="宋体"/>
          <w:bCs/>
          <w:color w:val="000000" w:themeColor="text1"/>
          <w:highlight w:val="none"/>
        </w:rPr>
        <w:t>注：</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color w:val="000000" w:themeColor="text1"/>
          <w:highlight w:val="none"/>
        </w:rPr>
        <w:t>投标人填写此表时不得改变表格的形式。</w:t>
      </w:r>
    </w:p>
    <w:p>
      <w:pPr>
        <w:numPr>
          <w:ilvl w:val="0"/>
          <w:numId w:val="4"/>
        </w:numPr>
        <w:tabs>
          <w:tab w:val="left" w:pos="1365"/>
        </w:tabs>
        <w:spacing w:line="360" w:lineRule="auto"/>
        <w:rPr>
          <w:rFonts w:ascii="宋体" w:hAnsi="宋体"/>
          <w:bCs/>
          <w:color w:val="000000" w:themeColor="text1"/>
          <w:highlight w:val="none"/>
        </w:rPr>
      </w:pPr>
      <w:r>
        <w:rPr>
          <w:rFonts w:hint="eastAsia"/>
          <w:bCs/>
          <w:color w:val="000000" w:themeColor="text1"/>
          <w:highlight w:val="none"/>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bCs/>
          <w:color w:val="000000" w:themeColor="text1"/>
          <w:highlight w:val="none"/>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rPr>
      </w:pP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 xml:space="preserve">投标人法定代表人（负责人）或授权代理人（签字）： </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日期：</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ascii="宋体" w:hAnsi="宋体"/>
          <w:bCs/>
          <w:color w:val="000000" w:themeColor="text1"/>
          <w:highlight w:val="none"/>
          <w:u w:val="single"/>
        </w:rPr>
        <w:t xml:space="preserve"> </w:t>
      </w:r>
      <w:r>
        <w:rPr>
          <w:rFonts w:ascii="宋体" w:hAnsi="宋体"/>
          <w:bCs/>
          <w:color w:val="000000" w:themeColor="text1"/>
          <w:highlight w:val="none"/>
        </w:rPr>
        <w:t xml:space="preserve"> </w:t>
      </w:r>
      <w:r>
        <w:rPr>
          <w:rFonts w:hint="eastAsia" w:ascii="宋体" w:hAnsi="宋体"/>
          <w:bCs/>
          <w:color w:val="000000" w:themeColor="text1"/>
          <w:highlight w:val="none"/>
        </w:rPr>
        <w:t>年</w:t>
      </w:r>
      <w:r>
        <w:rPr>
          <w:rFonts w:ascii="宋体" w:hAnsi="宋体"/>
          <w:bCs/>
          <w:color w:val="000000" w:themeColor="text1"/>
          <w:highlight w:val="none"/>
          <w:u w:val="single"/>
        </w:rPr>
        <w:t xml:space="preserve">     </w:t>
      </w:r>
      <w:r>
        <w:rPr>
          <w:rFonts w:hint="eastAsia" w:ascii="宋体" w:hAnsi="宋体"/>
          <w:bCs/>
          <w:color w:val="000000" w:themeColor="text1"/>
          <w:highlight w:val="none"/>
        </w:rPr>
        <w:t>月</w:t>
      </w:r>
      <w:r>
        <w:rPr>
          <w:rFonts w:ascii="宋体" w:hAnsi="宋体"/>
          <w:bCs/>
          <w:color w:val="000000" w:themeColor="text1"/>
          <w:highlight w:val="none"/>
        </w:rPr>
        <w:t xml:space="preserve"> </w:t>
      </w:r>
      <w:r>
        <w:rPr>
          <w:rFonts w:ascii="宋体" w:hAnsi="宋体"/>
          <w:bCs/>
          <w:color w:val="000000" w:themeColor="text1"/>
          <w:highlight w:val="none"/>
          <w:u w:val="single"/>
        </w:rPr>
        <w:t xml:space="preserve">    </w:t>
      </w:r>
      <w:r>
        <w:rPr>
          <w:rFonts w:hint="eastAsia" w:ascii="宋体" w:hAnsi="宋体"/>
          <w:bCs/>
          <w:color w:val="000000" w:themeColor="text1"/>
          <w:highlight w:val="none"/>
        </w:rPr>
        <w:t>日</w:t>
      </w:r>
      <w:r>
        <w:rPr>
          <w:rFonts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pStyle w:val="4"/>
        <w:numPr>
          <w:ilvl w:val="0"/>
          <w:numId w:val="0"/>
        </w:numPr>
        <w:spacing w:line="400" w:lineRule="exact"/>
        <w:rPr>
          <w:color w:val="000000" w:themeColor="text1"/>
          <w:highlight w:val="none"/>
        </w:rPr>
      </w:pPr>
      <w:bookmarkStart w:id="1929" w:name="_Toc336681603"/>
      <w:bookmarkStart w:id="1930" w:name="_Toc343247123"/>
      <w:bookmarkStart w:id="1931" w:name="_Toc365967095"/>
      <w:bookmarkStart w:id="1932" w:name="_Toc340677093"/>
      <w:bookmarkStart w:id="1933" w:name="_Toc343248441"/>
      <w:bookmarkStart w:id="1934" w:name="_Toc336681958"/>
      <w:bookmarkStart w:id="1935" w:name="_Toc332270370"/>
      <w:bookmarkStart w:id="1936" w:name="_Toc24977"/>
      <w:bookmarkStart w:id="1937" w:name="_Toc345312620"/>
      <w:bookmarkStart w:id="1938" w:name="_Toc333237701"/>
      <w:bookmarkStart w:id="1939" w:name="_Toc340672892"/>
      <w:bookmarkStart w:id="1940" w:name="_Toc366072552"/>
      <w:bookmarkStart w:id="1941" w:name="_Toc339362323"/>
      <w:bookmarkStart w:id="1942" w:name="_Toc339020038"/>
      <w:bookmarkStart w:id="1943" w:name="_Toc342296784"/>
      <w:bookmarkStart w:id="1944" w:name="_Toc333935710"/>
      <w:bookmarkStart w:id="1945" w:name="_Toc340507465"/>
      <w:bookmarkStart w:id="1946" w:name="_Toc339019912"/>
      <w:bookmarkStart w:id="1947" w:name="_Toc341348363"/>
      <w:bookmarkStart w:id="1948" w:name="_Toc342312466"/>
      <w:bookmarkStart w:id="1949" w:name="_Toc342060398"/>
      <w:bookmarkStart w:id="1950" w:name="_Toc342398153"/>
      <w:bookmarkStart w:id="1951" w:name="_Toc333238657"/>
      <w:bookmarkStart w:id="1952" w:name="_Toc350756473"/>
      <w:bookmarkStart w:id="1953" w:name="_Toc330460009"/>
      <w:bookmarkStart w:id="1954" w:name="_Toc337632381"/>
      <w:bookmarkStart w:id="1955" w:name="_Toc331684065"/>
      <w:bookmarkStart w:id="1956" w:name="_Toc350438772"/>
      <w:bookmarkStart w:id="1957" w:name="_Toc332206732"/>
      <w:bookmarkStart w:id="1958" w:name="_Toc339441110"/>
      <w:bookmarkStart w:id="1959" w:name="_Toc331512924"/>
      <w:bookmarkStart w:id="1960" w:name="_Toc343612943"/>
      <w:bookmarkStart w:id="1961" w:name="_Toc333935369"/>
      <w:bookmarkStart w:id="1962" w:name="_Toc339020118"/>
      <w:bookmarkStart w:id="1963" w:name="_Toc365985201"/>
      <w:bookmarkStart w:id="1964" w:name="_Toc333237812"/>
      <w:bookmarkStart w:id="1965" w:name="_Toc339020256"/>
      <w:r>
        <w:rPr>
          <w:rFonts w:hint="eastAsia"/>
          <w:color w:val="000000" w:themeColor="text1"/>
          <w:highlight w:val="none"/>
        </w:rPr>
        <w:t>附件三：</w:t>
      </w:r>
      <w:r>
        <w:rPr>
          <w:color w:val="000000" w:themeColor="text1"/>
          <w:highlight w:val="none"/>
        </w:rPr>
        <w:t>投标</w:t>
      </w:r>
      <w:r>
        <w:rPr>
          <w:rFonts w:hint="eastAsia"/>
          <w:color w:val="000000" w:themeColor="text1"/>
          <w:highlight w:val="none"/>
        </w:rPr>
        <w:t>分项报价</w:t>
      </w:r>
      <w:r>
        <w:rPr>
          <w:color w:val="000000" w:themeColor="text1"/>
          <w:highlight w:val="none"/>
        </w:rPr>
        <w:t>表</w:t>
      </w:r>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p>
    <w:p>
      <w:pPr>
        <w:adjustRightInd w:val="0"/>
        <w:snapToGrid w:val="0"/>
        <w:spacing w:line="360" w:lineRule="auto"/>
        <w:jc w:val="left"/>
        <w:rPr>
          <w:color w:val="000000" w:themeColor="text1"/>
          <w:szCs w:val="18"/>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Cs/>
          <w:caps/>
          <w:color w:val="000000" w:themeColor="text1"/>
          <w:highlight w:val="none"/>
        </w:rPr>
        <w:t xml:space="preserve">                        </w:t>
      </w:r>
      <w:r>
        <w:rPr>
          <w:rFonts w:hint="eastAsia"/>
          <w:color w:val="000000" w:themeColor="text1"/>
          <w:szCs w:val="18"/>
          <w:highlight w:val="none"/>
        </w:rPr>
        <w:t xml:space="preserve">                     </w:t>
      </w:r>
    </w:p>
    <w:p>
      <w:pPr>
        <w:adjustRightInd w:val="0"/>
        <w:snapToGrid w:val="0"/>
        <w:spacing w:line="360" w:lineRule="auto"/>
        <w:ind w:left="1050" w:hanging="1050" w:hangingChars="500"/>
        <w:jc w:val="left"/>
        <w:rPr>
          <w:color w:val="000000" w:themeColor="text1"/>
          <w:szCs w:val="2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p>
    <w:p>
      <w:pPr>
        <w:adjustRightInd w:val="0"/>
        <w:snapToGrid w:val="0"/>
        <w:spacing w:line="360" w:lineRule="auto"/>
        <w:ind w:left="1054" w:hanging="1054" w:hangingChars="500"/>
        <w:jc w:val="left"/>
        <w:rPr>
          <w:rFonts w:ascii="宋体" w:hAnsi="宋体"/>
          <w:b/>
          <w:bCs/>
          <w:caps/>
          <w:color w:val="000000" w:themeColor="text1"/>
          <w:highlight w:val="none"/>
        </w:rPr>
      </w:pPr>
      <w:r>
        <w:rPr>
          <w:rFonts w:hint="eastAsia" w:ascii="宋体" w:hAnsi="宋体"/>
          <w:b/>
          <w:bCs/>
          <w:caps/>
          <w:color w:val="000000" w:themeColor="text1"/>
          <w:highlight w:val="none"/>
        </w:rPr>
        <w:t xml:space="preserve">                                     </w:t>
      </w:r>
      <w:r>
        <w:rPr>
          <w:rFonts w:hint="eastAsia"/>
          <w:color w:val="000000" w:themeColor="text1"/>
          <w:szCs w:val="18"/>
          <w:highlight w:val="none"/>
        </w:rPr>
        <w:t xml:space="preserve">                               （单位：元）                  </w:t>
      </w:r>
    </w:p>
    <w:tbl>
      <w:tblPr>
        <w:tblStyle w:val="47"/>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3"/>
        <w:gridCol w:w="1282"/>
        <w:gridCol w:w="1282"/>
        <w:gridCol w:w="641"/>
        <w:gridCol w:w="641"/>
        <w:gridCol w:w="128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序号</w:t>
            </w:r>
          </w:p>
        </w:tc>
        <w:tc>
          <w:tcPr>
            <w:tcW w:w="1843"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内容</w:t>
            </w:r>
          </w:p>
        </w:tc>
        <w:tc>
          <w:tcPr>
            <w:tcW w:w="1282"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w:t>
            </w:r>
          </w:p>
        </w:tc>
        <w:tc>
          <w:tcPr>
            <w:tcW w:w="1282"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2</w:t>
            </w: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3</w:t>
            </w:r>
          </w:p>
        </w:tc>
        <w:tc>
          <w:tcPr>
            <w:tcW w:w="1282"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4</w:t>
            </w:r>
          </w:p>
        </w:tc>
        <w:tc>
          <w:tcPr>
            <w:tcW w:w="1283"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w:t>
            </w:r>
          </w:p>
        </w:tc>
        <w:tc>
          <w:tcPr>
            <w:tcW w:w="1843"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设备名称</w:t>
            </w: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rPr>
            </w:pP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3" w:type="dxa"/>
            <w:vAlign w:val="center"/>
          </w:tcPr>
          <w:p>
            <w:pPr>
              <w:pStyle w:val="5"/>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2</w:t>
            </w:r>
          </w:p>
        </w:tc>
        <w:tc>
          <w:tcPr>
            <w:tcW w:w="1843"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品牌型号及规格</w:t>
            </w: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rPr>
            </w:pP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3" w:type="dxa"/>
            <w:vAlign w:val="center"/>
          </w:tcPr>
          <w:p>
            <w:pPr>
              <w:pStyle w:val="5"/>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3</w:t>
            </w:r>
          </w:p>
        </w:tc>
        <w:tc>
          <w:tcPr>
            <w:tcW w:w="1843"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原产地</w:t>
            </w: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rPr>
            </w:pP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3" w:type="dxa"/>
            <w:vAlign w:val="center"/>
          </w:tcPr>
          <w:p>
            <w:pPr>
              <w:pStyle w:val="5"/>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4</w:t>
            </w:r>
          </w:p>
        </w:tc>
        <w:tc>
          <w:tcPr>
            <w:tcW w:w="1843"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设备单价</w:t>
            </w: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rPr>
            </w:pP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3" w:type="dxa"/>
            <w:vAlign w:val="center"/>
          </w:tcPr>
          <w:p>
            <w:pPr>
              <w:pStyle w:val="5"/>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5</w:t>
            </w:r>
          </w:p>
        </w:tc>
        <w:tc>
          <w:tcPr>
            <w:tcW w:w="1843"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数量</w:t>
            </w: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rPr>
            </w:pP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3" w:type="dxa"/>
            <w:vAlign w:val="center"/>
          </w:tcPr>
          <w:p>
            <w:pPr>
              <w:pStyle w:val="5"/>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6</w:t>
            </w:r>
          </w:p>
        </w:tc>
        <w:tc>
          <w:tcPr>
            <w:tcW w:w="1843"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设备总价</w:t>
            </w: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rPr>
            </w:pP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3" w:type="dxa"/>
            <w:vAlign w:val="center"/>
          </w:tcPr>
          <w:p>
            <w:pPr>
              <w:pStyle w:val="5"/>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7</w:t>
            </w:r>
          </w:p>
        </w:tc>
        <w:tc>
          <w:tcPr>
            <w:tcW w:w="1843"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备品备件价</w:t>
            </w: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rPr>
            </w:pP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3" w:type="dxa"/>
            <w:vAlign w:val="center"/>
          </w:tcPr>
          <w:p>
            <w:pPr>
              <w:pStyle w:val="5"/>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8</w:t>
            </w:r>
          </w:p>
        </w:tc>
        <w:tc>
          <w:tcPr>
            <w:tcW w:w="1843"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附件价</w:t>
            </w: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rPr>
            </w:pP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3" w:type="dxa"/>
            <w:vAlign w:val="center"/>
          </w:tcPr>
          <w:p>
            <w:pPr>
              <w:pStyle w:val="5"/>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9</w:t>
            </w:r>
          </w:p>
        </w:tc>
        <w:tc>
          <w:tcPr>
            <w:tcW w:w="1843"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专用工具价</w:t>
            </w: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rPr>
            </w:pPr>
          </w:p>
        </w:tc>
        <w:tc>
          <w:tcPr>
            <w:tcW w:w="1282" w:type="dxa"/>
            <w:vAlign w:val="center"/>
          </w:tcPr>
          <w:p>
            <w:pPr>
              <w:pStyle w:val="5"/>
              <w:snapToGrid w:val="0"/>
              <w:ind w:firstLine="0"/>
              <w:jc w:val="center"/>
              <w:rPr>
                <w:rFonts w:hAnsi="宋体" w:cs="宋体"/>
                <w:color w:val="000000" w:themeColor="text1"/>
                <w:kern w:val="2"/>
                <w:sz w:val="21"/>
                <w:szCs w:val="21"/>
                <w:highlight w:val="none"/>
              </w:rPr>
            </w:pPr>
          </w:p>
        </w:tc>
        <w:tc>
          <w:tcPr>
            <w:tcW w:w="1283" w:type="dxa"/>
            <w:vAlign w:val="center"/>
          </w:tcPr>
          <w:p>
            <w:pPr>
              <w:pStyle w:val="5"/>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10</w:t>
            </w:r>
          </w:p>
        </w:tc>
        <w:tc>
          <w:tcPr>
            <w:tcW w:w="1843"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运输费、人工费</w:t>
            </w:r>
          </w:p>
        </w:tc>
        <w:tc>
          <w:tcPr>
            <w:tcW w:w="6411" w:type="dxa"/>
            <w:gridSpan w:val="6"/>
            <w:vAlign w:val="center"/>
          </w:tcPr>
          <w:p>
            <w:pPr>
              <w:pStyle w:val="5"/>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11</w:t>
            </w:r>
          </w:p>
        </w:tc>
        <w:tc>
          <w:tcPr>
            <w:tcW w:w="1843"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保险费</w:t>
            </w:r>
          </w:p>
        </w:tc>
        <w:tc>
          <w:tcPr>
            <w:tcW w:w="6411" w:type="dxa"/>
            <w:gridSpan w:val="6"/>
            <w:vAlign w:val="center"/>
          </w:tcPr>
          <w:p>
            <w:pPr>
              <w:pStyle w:val="5"/>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12</w:t>
            </w:r>
          </w:p>
        </w:tc>
        <w:tc>
          <w:tcPr>
            <w:tcW w:w="1843"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安装调试费</w:t>
            </w:r>
          </w:p>
        </w:tc>
        <w:tc>
          <w:tcPr>
            <w:tcW w:w="6411" w:type="dxa"/>
            <w:gridSpan w:val="6"/>
            <w:vAlign w:val="center"/>
          </w:tcPr>
          <w:p>
            <w:pPr>
              <w:pStyle w:val="5"/>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13</w:t>
            </w:r>
          </w:p>
        </w:tc>
        <w:tc>
          <w:tcPr>
            <w:tcW w:w="1843"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技术服务费</w:t>
            </w:r>
          </w:p>
        </w:tc>
        <w:tc>
          <w:tcPr>
            <w:tcW w:w="6411" w:type="dxa"/>
            <w:gridSpan w:val="6"/>
            <w:vAlign w:val="center"/>
          </w:tcPr>
          <w:p>
            <w:pPr>
              <w:pStyle w:val="5"/>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14</w:t>
            </w:r>
          </w:p>
        </w:tc>
        <w:tc>
          <w:tcPr>
            <w:tcW w:w="1843"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税金</w:t>
            </w:r>
          </w:p>
        </w:tc>
        <w:tc>
          <w:tcPr>
            <w:tcW w:w="6411" w:type="dxa"/>
            <w:gridSpan w:val="6"/>
            <w:vAlign w:val="center"/>
          </w:tcPr>
          <w:p>
            <w:pPr>
              <w:pStyle w:val="5"/>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15</w:t>
            </w:r>
          </w:p>
        </w:tc>
        <w:tc>
          <w:tcPr>
            <w:tcW w:w="1843"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培训费</w:t>
            </w:r>
          </w:p>
        </w:tc>
        <w:tc>
          <w:tcPr>
            <w:tcW w:w="6411" w:type="dxa"/>
            <w:gridSpan w:val="6"/>
            <w:vAlign w:val="center"/>
          </w:tcPr>
          <w:p>
            <w:pPr>
              <w:pStyle w:val="5"/>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16</w:t>
            </w:r>
          </w:p>
        </w:tc>
        <w:tc>
          <w:tcPr>
            <w:tcW w:w="1843"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质量保证期内的服务费用</w:t>
            </w:r>
          </w:p>
        </w:tc>
        <w:tc>
          <w:tcPr>
            <w:tcW w:w="6411" w:type="dxa"/>
            <w:gridSpan w:val="6"/>
            <w:vAlign w:val="center"/>
          </w:tcPr>
          <w:p>
            <w:pPr>
              <w:pStyle w:val="5"/>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17</w:t>
            </w:r>
          </w:p>
        </w:tc>
        <w:tc>
          <w:tcPr>
            <w:tcW w:w="1843" w:type="dxa"/>
            <w:vAlign w:val="center"/>
          </w:tcPr>
          <w:p>
            <w:pPr>
              <w:pStyle w:val="5"/>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其他费用</w:t>
            </w:r>
          </w:p>
        </w:tc>
        <w:tc>
          <w:tcPr>
            <w:tcW w:w="6411" w:type="dxa"/>
            <w:gridSpan w:val="6"/>
            <w:vAlign w:val="center"/>
          </w:tcPr>
          <w:p>
            <w:pPr>
              <w:pStyle w:val="5"/>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5"/>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18</w:t>
            </w:r>
          </w:p>
        </w:tc>
        <w:tc>
          <w:tcPr>
            <w:tcW w:w="1843" w:type="dxa"/>
            <w:vAlign w:val="center"/>
          </w:tcPr>
          <w:p>
            <w:pPr>
              <w:pStyle w:val="5"/>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投标总价</w:t>
            </w:r>
          </w:p>
        </w:tc>
        <w:tc>
          <w:tcPr>
            <w:tcW w:w="3205" w:type="dxa"/>
            <w:gridSpan w:val="3"/>
            <w:vAlign w:val="center"/>
          </w:tcPr>
          <w:p>
            <w:pPr>
              <w:pStyle w:val="5"/>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（大写）人民币</w:t>
            </w:r>
          </w:p>
        </w:tc>
        <w:tc>
          <w:tcPr>
            <w:tcW w:w="3206" w:type="dxa"/>
            <w:gridSpan w:val="3"/>
            <w:vAlign w:val="center"/>
          </w:tcPr>
          <w:p>
            <w:pPr>
              <w:pStyle w:val="5"/>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5"/>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19</w:t>
            </w:r>
          </w:p>
        </w:tc>
        <w:tc>
          <w:tcPr>
            <w:tcW w:w="1843" w:type="dxa"/>
            <w:vAlign w:val="center"/>
          </w:tcPr>
          <w:p>
            <w:pPr>
              <w:pStyle w:val="5"/>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备注</w:t>
            </w:r>
          </w:p>
        </w:tc>
        <w:tc>
          <w:tcPr>
            <w:tcW w:w="6411" w:type="dxa"/>
            <w:gridSpan w:val="6"/>
            <w:vAlign w:val="center"/>
          </w:tcPr>
          <w:p>
            <w:pPr>
              <w:pStyle w:val="5"/>
              <w:snapToGrid w:val="0"/>
              <w:ind w:firstLine="0"/>
              <w:jc w:val="center"/>
              <w:rPr>
                <w:rFonts w:hAnsi="宋体" w:cs="宋体"/>
                <w:bCs/>
                <w:color w:val="000000" w:themeColor="text1"/>
                <w:kern w:val="2"/>
                <w:sz w:val="21"/>
                <w:szCs w:val="21"/>
                <w:highlight w:val="none"/>
              </w:rPr>
            </w:pPr>
          </w:p>
        </w:tc>
      </w:tr>
    </w:tbl>
    <w:p>
      <w:pPr>
        <w:spacing w:line="360" w:lineRule="auto"/>
        <w:rPr>
          <w:color w:val="000000" w:themeColor="text1"/>
          <w:highlight w:val="none"/>
        </w:rPr>
      </w:pPr>
      <w:r>
        <w:rPr>
          <w:rFonts w:hint="eastAsia"/>
          <w:color w:val="000000" w:themeColor="text1"/>
          <w:highlight w:val="none"/>
        </w:rPr>
        <w:t>注：如本表格式内容不能满足需要，投标人可自行划表填写。</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 xml:space="preserve">投标人法定代表人（负责人）或授权代理人（签字）： </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4"/>
        <w:numPr>
          <w:ilvl w:val="0"/>
          <w:numId w:val="0"/>
        </w:numPr>
        <w:spacing w:line="400" w:lineRule="exact"/>
        <w:rPr>
          <w:color w:val="000000" w:themeColor="text1"/>
          <w:highlight w:val="none"/>
        </w:rPr>
      </w:pPr>
      <w:bookmarkStart w:id="1966" w:name="_Toc341348364"/>
      <w:bookmarkStart w:id="1967" w:name="_Toc332270371"/>
      <w:bookmarkStart w:id="1968" w:name="_Toc340672893"/>
      <w:bookmarkStart w:id="1969" w:name="_Toc339362324"/>
      <w:bookmarkStart w:id="1970" w:name="_Toc332206733"/>
      <w:bookmarkStart w:id="1971" w:name="_Toc345312621"/>
      <w:bookmarkStart w:id="1972" w:name="_Toc333237813"/>
      <w:bookmarkStart w:id="1973" w:name="_Toc336681959"/>
      <w:bookmarkStart w:id="1974" w:name="_Toc366072553"/>
      <w:bookmarkStart w:id="1975" w:name="_Toc342398154"/>
      <w:bookmarkStart w:id="1976" w:name="_Toc342060399"/>
      <w:bookmarkStart w:id="1977" w:name="_Toc339019913"/>
      <w:bookmarkStart w:id="1978" w:name="_Toc22136"/>
      <w:bookmarkStart w:id="1979" w:name="_Toc342312467"/>
      <w:bookmarkStart w:id="1980" w:name="_Toc343248442"/>
      <w:bookmarkStart w:id="1981" w:name="_Toc337632382"/>
      <w:bookmarkStart w:id="1982" w:name="_Toc340507466"/>
      <w:bookmarkStart w:id="1983" w:name="_Toc333935370"/>
      <w:bookmarkStart w:id="1984" w:name="_Toc339020039"/>
      <w:bookmarkStart w:id="1985" w:name="_Toc350756474"/>
      <w:bookmarkStart w:id="1986" w:name="_Toc365985202"/>
      <w:bookmarkStart w:id="1987" w:name="_Toc350438773"/>
      <w:bookmarkStart w:id="1988" w:name="_Toc331512925"/>
      <w:bookmarkStart w:id="1989" w:name="_Toc331684066"/>
      <w:bookmarkStart w:id="1990" w:name="_Toc343612944"/>
      <w:bookmarkStart w:id="1991" w:name="_Toc339020257"/>
      <w:bookmarkStart w:id="1992" w:name="_Toc333238658"/>
      <w:bookmarkStart w:id="1993" w:name="_Toc342296785"/>
      <w:bookmarkStart w:id="1994" w:name="_Toc333935711"/>
      <w:bookmarkStart w:id="1995" w:name="_Toc339441111"/>
      <w:bookmarkStart w:id="1996" w:name="_Toc339020119"/>
      <w:bookmarkStart w:id="1997" w:name="_Toc340677094"/>
      <w:bookmarkStart w:id="1998" w:name="_Toc343247124"/>
      <w:bookmarkStart w:id="1999" w:name="_Toc333237702"/>
      <w:bookmarkStart w:id="2000" w:name="_Toc336681604"/>
      <w:bookmarkStart w:id="2001" w:name="_Toc365967096"/>
      <w:bookmarkStart w:id="2002" w:name="_Toc330460010"/>
      <w:r>
        <w:rPr>
          <w:rFonts w:hint="eastAsia"/>
          <w:color w:val="000000" w:themeColor="text1"/>
          <w:highlight w:val="none"/>
        </w:rPr>
        <w:t>附件四：商务条款偏离一览表</w:t>
      </w:r>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p>
    <w:p>
      <w:pPr>
        <w:adjustRightInd w:val="0"/>
        <w:snapToGrid w:val="0"/>
        <w:spacing w:line="360" w:lineRule="auto"/>
        <w:jc w:val="left"/>
        <w:rPr>
          <w:rFonts w:ascii="宋体" w:hAnsi="宋体"/>
          <w:bCs/>
          <w:caps/>
          <w:color w:val="000000" w:themeColor="text1"/>
          <w:highlight w:val="none"/>
          <w:u w:val="singl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r>
        <w:rPr>
          <w:rFonts w:hint="eastAsia" w:ascii="宋体" w:hAnsi="宋体"/>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7"/>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2）对招标文件中商务条款按上列格式逐条说明。</w:t>
      </w:r>
    </w:p>
    <w:p>
      <w:pPr>
        <w:adjustRightInd w:val="0"/>
        <w:snapToGrid w:val="0"/>
        <w:spacing w:line="360" w:lineRule="auto"/>
        <w:ind w:firstLine="632" w:firstLineChars="300"/>
        <w:rPr>
          <w:rFonts w:ascii="宋体" w:hAnsi="宋体"/>
          <w:b/>
          <w:bCs/>
          <w:color w:val="000000" w:themeColor="text1"/>
          <w:highlight w:val="none"/>
        </w:rPr>
      </w:pPr>
    </w:p>
    <w:p>
      <w:pPr>
        <w:adjustRightInd w:val="0"/>
        <w:snapToGrid w:val="0"/>
        <w:spacing w:line="360" w:lineRule="auto"/>
        <w:rPr>
          <w:rFonts w:ascii="宋体" w:hAnsi="宋体"/>
          <w:b/>
          <w:bCs/>
          <w:color w:val="000000" w:themeColor="text1"/>
          <w:highlight w:val="none"/>
        </w:rPr>
      </w:pPr>
      <w:r>
        <w:rPr>
          <w:rFonts w:hint="eastAsia" w:ascii="宋体" w:hAnsi="宋体"/>
          <w:b/>
          <w:bCs/>
          <w:color w:val="000000" w:themeColor="text1"/>
          <w:highlight w:val="none"/>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adjustRightInd w:val="0"/>
        <w:snapToGrid w:val="0"/>
        <w:spacing w:line="360" w:lineRule="auto"/>
        <w:rPr>
          <w:rFonts w:ascii="宋体" w:hAnsi="宋体"/>
          <w:bCs/>
          <w:color w:val="000000" w:themeColor="text1"/>
          <w:highlight w:val="none"/>
          <w:u w:val="single"/>
        </w:rPr>
        <w:sectPr>
          <w:footerReference r:id="rId13" w:type="default"/>
          <w:pgSz w:w="11906" w:h="16838"/>
          <w:pgMar w:top="1474" w:right="1418" w:bottom="1474" w:left="1418" w:header="851" w:footer="851" w:gutter="0"/>
          <w:cols w:space="720" w:num="1"/>
          <w:titlePg/>
          <w:docGrid w:linePitch="312" w:charSpace="0"/>
        </w:sectPr>
      </w:pPr>
    </w:p>
    <w:p>
      <w:pPr>
        <w:pStyle w:val="4"/>
        <w:numPr>
          <w:ilvl w:val="0"/>
          <w:numId w:val="0"/>
        </w:numPr>
        <w:spacing w:line="400" w:lineRule="exact"/>
        <w:rPr>
          <w:color w:val="000000" w:themeColor="text1"/>
          <w:highlight w:val="none"/>
        </w:rPr>
      </w:pPr>
      <w:bookmarkStart w:id="2003" w:name="_Toc7567"/>
      <w:bookmarkStart w:id="2004" w:name="_Toc331512926"/>
      <w:bookmarkStart w:id="2005" w:name="_Toc333935371"/>
      <w:bookmarkStart w:id="2006" w:name="_Toc333237814"/>
      <w:bookmarkStart w:id="2007" w:name="_Toc333237703"/>
      <w:bookmarkStart w:id="2008" w:name="_Toc365967097"/>
      <w:bookmarkStart w:id="2009" w:name="_Toc343248443"/>
      <w:bookmarkStart w:id="2010" w:name="_Toc336681605"/>
      <w:bookmarkStart w:id="2011" w:name="_Toc366072554"/>
      <w:bookmarkStart w:id="2012" w:name="_Toc339362325"/>
      <w:bookmarkStart w:id="2013" w:name="_Toc332270372"/>
      <w:bookmarkStart w:id="2014" w:name="_Toc343612945"/>
      <w:bookmarkStart w:id="2015" w:name="_Toc340677095"/>
      <w:bookmarkStart w:id="2016" w:name="_Toc342398155"/>
      <w:bookmarkStart w:id="2017" w:name="_Toc350438774"/>
      <w:bookmarkStart w:id="2018" w:name="_Toc342296786"/>
      <w:bookmarkStart w:id="2019" w:name="_Toc340672894"/>
      <w:bookmarkStart w:id="2020" w:name="_Toc340507467"/>
      <w:bookmarkStart w:id="2021" w:name="_Toc345312622"/>
      <w:bookmarkStart w:id="2022" w:name="_Toc332206734"/>
      <w:bookmarkStart w:id="2023" w:name="_Toc337632383"/>
      <w:bookmarkStart w:id="2024" w:name="_Toc339020040"/>
      <w:bookmarkStart w:id="2025" w:name="_Toc365985203"/>
      <w:bookmarkStart w:id="2026" w:name="_Toc341348365"/>
      <w:bookmarkStart w:id="2027" w:name="_Toc342060400"/>
      <w:bookmarkStart w:id="2028" w:name="_Toc333238659"/>
      <w:bookmarkStart w:id="2029" w:name="_Toc339020120"/>
      <w:bookmarkStart w:id="2030" w:name="_Toc350756475"/>
      <w:bookmarkStart w:id="2031" w:name="_Toc342312468"/>
      <w:bookmarkStart w:id="2032" w:name="_Toc336681960"/>
      <w:bookmarkStart w:id="2033" w:name="_Toc339020258"/>
      <w:bookmarkStart w:id="2034" w:name="_Toc339019914"/>
      <w:bookmarkStart w:id="2035" w:name="_Toc339441112"/>
      <w:bookmarkStart w:id="2036" w:name="_Toc330460011"/>
      <w:bookmarkStart w:id="2037" w:name="_Toc333935712"/>
      <w:bookmarkStart w:id="2038" w:name="_Toc343247125"/>
      <w:bookmarkStart w:id="2039" w:name="_Toc331684067"/>
      <w:r>
        <w:rPr>
          <w:rFonts w:hint="eastAsia"/>
          <w:color w:val="000000" w:themeColor="text1"/>
          <w:highlight w:val="none"/>
        </w:rPr>
        <w:t>附件五：技术条款偏离一览表</w:t>
      </w:r>
      <w:bookmarkEnd w:id="2003"/>
    </w:p>
    <w:p>
      <w:pPr>
        <w:adjustRightInd w:val="0"/>
        <w:snapToGrid w:val="0"/>
        <w:spacing w:line="360" w:lineRule="auto"/>
        <w:jc w:val="left"/>
        <w:rPr>
          <w:rFonts w:ascii="宋体" w:hAnsi="宋体"/>
          <w:bCs/>
          <w:caps/>
          <w:color w:val="000000" w:themeColor="text1"/>
          <w:highlight w:val="none"/>
          <w:u w:val="singl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7"/>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2）对招标文件中技术条款按上列格式逐条说明。</w:t>
      </w:r>
    </w:p>
    <w:p>
      <w:pPr>
        <w:adjustRightInd w:val="0"/>
        <w:snapToGrid w:val="0"/>
        <w:spacing w:line="360" w:lineRule="auto"/>
        <w:ind w:firstLine="632" w:firstLineChars="300"/>
        <w:rPr>
          <w:rFonts w:ascii="宋体" w:hAnsi="宋体"/>
          <w:b/>
          <w:bCs/>
          <w:color w:val="000000" w:themeColor="text1"/>
          <w:highlight w:val="none"/>
        </w:rPr>
      </w:pPr>
    </w:p>
    <w:p>
      <w:pPr>
        <w:adjustRightInd w:val="0"/>
        <w:snapToGrid w:val="0"/>
        <w:spacing w:line="360" w:lineRule="auto"/>
        <w:rPr>
          <w:rFonts w:ascii="宋体" w:hAnsi="宋体"/>
          <w:b/>
          <w:color w:val="000000" w:themeColor="text1"/>
          <w:highlight w:val="none"/>
        </w:rPr>
      </w:pPr>
      <w:r>
        <w:rPr>
          <w:rFonts w:hint="eastAsia" w:ascii="宋体" w:hAnsi="宋体"/>
          <w:b/>
          <w:bCs/>
          <w:color w:val="000000" w:themeColor="text1"/>
          <w:highlight w:val="none"/>
        </w:rPr>
        <w:t>投标人声明：</w:t>
      </w:r>
      <w:r>
        <w:rPr>
          <w:rFonts w:hint="eastAsia" w:ascii="宋体" w:hAnsi="宋体"/>
          <w:b/>
          <w:color w:val="000000" w:themeColor="text1"/>
          <w:highlight w:val="none"/>
        </w:rPr>
        <w:t>表中未列</w:t>
      </w:r>
      <w:r>
        <w:rPr>
          <w:rFonts w:hint="eastAsia" w:ascii="宋体" w:hAnsi="宋体"/>
          <w:b/>
          <w:bCs/>
          <w:color w:val="000000" w:themeColor="text1"/>
          <w:highlight w:val="none"/>
        </w:rPr>
        <w:t>全</w:t>
      </w:r>
      <w:r>
        <w:rPr>
          <w:rFonts w:hint="eastAsia" w:ascii="宋体" w:hAnsi="宋体"/>
          <w:b/>
          <w:color w:val="000000" w:themeColor="text1"/>
          <w:highlight w:val="none"/>
        </w:rPr>
        <w:t>的技术条款，我方均表示完全响应招标文件技术条款的所有要求。</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p>
      <w:pPr>
        <w:pStyle w:val="5"/>
        <w:ind w:firstLine="0"/>
        <w:rPr>
          <w:rFonts w:hAnsi="宋体"/>
          <w:color w:val="000000" w:themeColor="text1"/>
          <w:sz w:val="21"/>
          <w:szCs w:val="21"/>
          <w:highlight w:val="none"/>
        </w:rPr>
        <w:sectPr>
          <w:pgSz w:w="11906" w:h="16838"/>
          <w:pgMar w:top="1474" w:right="1418" w:bottom="1474" w:left="1418" w:header="851" w:footer="851" w:gutter="0"/>
          <w:cols w:space="720" w:num="1"/>
          <w:titlePg/>
          <w:docGrid w:linePitch="312" w:charSpace="0"/>
        </w:sectPr>
      </w:pPr>
    </w:p>
    <w:p>
      <w:pPr>
        <w:pStyle w:val="4"/>
        <w:numPr>
          <w:ilvl w:val="1"/>
          <w:numId w:val="0"/>
        </w:numPr>
        <w:spacing w:line="400" w:lineRule="exact"/>
        <w:rPr>
          <w:color w:val="000000" w:themeColor="text1"/>
          <w:highlight w:val="none"/>
        </w:rPr>
      </w:pPr>
      <w:bookmarkStart w:id="2040" w:name="_Toc343612949"/>
      <w:bookmarkStart w:id="2041" w:name="_Toc339362329"/>
      <w:bookmarkStart w:id="2042" w:name="_Toc333935375"/>
      <w:bookmarkStart w:id="2043" w:name="_Toc342398159"/>
      <w:bookmarkStart w:id="2044" w:name="_Toc432695228"/>
      <w:bookmarkStart w:id="2045" w:name="_Toc331512930"/>
      <w:bookmarkStart w:id="2046" w:name="_Toc332270376"/>
      <w:bookmarkStart w:id="2047" w:name="_Toc350438778"/>
      <w:bookmarkStart w:id="2048" w:name="_Toc341348369"/>
      <w:bookmarkStart w:id="2049" w:name="_Toc336681964"/>
      <w:bookmarkStart w:id="2050" w:name="_Toc330460015"/>
      <w:bookmarkStart w:id="2051" w:name="_Toc365967104"/>
      <w:bookmarkStart w:id="2052" w:name="_Toc333238663"/>
      <w:bookmarkStart w:id="2053" w:name="_Toc342296790"/>
      <w:bookmarkStart w:id="2054" w:name="_Toc340507471"/>
      <w:bookmarkStart w:id="2055" w:name="_Toc365985210"/>
      <w:bookmarkStart w:id="2056" w:name="_Toc342060404"/>
      <w:bookmarkStart w:id="2057" w:name="_Toc332206738"/>
      <w:bookmarkStart w:id="2058" w:name="_Toc333237707"/>
      <w:bookmarkStart w:id="2059" w:name="_Toc337632387"/>
      <w:bookmarkStart w:id="2060" w:name="_Toc345312626"/>
      <w:bookmarkStart w:id="2061" w:name="_Toc333237818"/>
      <w:bookmarkStart w:id="2062" w:name="_Toc336681609"/>
      <w:bookmarkStart w:id="2063" w:name="_Toc339020262"/>
      <w:bookmarkStart w:id="2064" w:name="_Toc331684071"/>
      <w:bookmarkStart w:id="2065" w:name="_Toc342312472"/>
      <w:bookmarkStart w:id="2066" w:name="_Toc339020044"/>
      <w:bookmarkStart w:id="2067" w:name="_Toc343248447"/>
      <w:bookmarkStart w:id="2068" w:name="_Toc339441116"/>
      <w:bookmarkStart w:id="2069" w:name="_Toc339020124"/>
      <w:bookmarkStart w:id="2070" w:name="_Toc366072561"/>
      <w:bookmarkStart w:id="2071" w:name="_Toc340677099"/>
      <w:bookmarkStart w:id="2072" w:name="_Toc343247129"/>
      <w:bookmarkStart w:id="2073" w:name="_Toc13140"/>
      <w:bookmarkStart w:id="2074" w:name="_Toc333935716"/>
      <w:bookmarkStart w:id="2075" w:name="_Toc340672898"/>
      <w:bookmarkStart w:id="2076" w:name="_Toc350756479"/>
      <w:bookmarkStart w:id="2077" w:name="_Toc339019918"/>
      <w:r>
        <w:rPr>
          <w:rFonts w:hint="eastAsia"/>
          <w:color w:val="000000" w:themeColor="text1"/>
          <w:highlight w:val="none"/>
        </w:rPr>
        <w:t>附件六：同类业绩一览表</w:t>
      </w:r>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bookmarkEnd w:id="2056"/>
      <w:bookmarkEnd w:id="2057"/>
      <w:bookmarkEnd w:id="2058"/>
      <w:bookmarkEnd w:id="2059"/>
      <w:bookmarkEnd w:id="2060"/>
      <w:bookmarkEnd w:id="2061"/>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End w:id="2075"/>
      <w:bookmarkEnd w:id="2076"/>
      <w:bookmarkEnd w:id="2077"/>
    </w:p>
    <w:p>
      <w:pPr>
        <w:adjustRightInd w:val="0"/>
        <w:snapToGrid w:val="0"/>
        <w:spacing w:line="360" w:lineRule="auto"/>
        <w:jc w:val="left"/>
        <w:rPr>
          <w:rFonts w:ascii="宋体" w:hAnsi="宋体"/>
          <w:bCs/>
          <w:caps/>
          <w:color w:val="000000" w:themeColor="text1"/>
          <w:szCs w:val="21"/>
          <w:highlight w:val="none"/>
          <w:u w:val="single"/>
        </w:rPr>
      </w:pPr>
      <w:bookmarkStart w:id="2078" w:name="_Hlk534184855"/>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bookmarkEnd w:id="2078"/>
    </w:p>
    <w:tbl>
      <w:tblPr>
        <w:tblStyle w:val="47"/>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序号</w:t>
            </w:r>
          </w:p>
        </w:tc>
        <w:tc>
          <w:tcPr>
            <w:tcW w:w="1215"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项目名称</w:t>
            </w:r>
          </w:p>
        </w:tc>
        <w:tc>
          <w:tcPr>
            <w:tcW w:w="1267"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内容</w:t>
            </w:r>
          </w:p>
        </w:tc>
        <w:tc>
          <w:tcPr>
            <w:tcW w:w="1117"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数量</w:t>
            </w:r>
          </w:p>
        </w:tc>
        <w:tc>
          <w:tcPr>
            <w:tcW w:w="1400"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中标金额（元）</w:t>
            </w:r>
          </w:p>
        </w:tc>
        <w:tc>
          <w:tcPr>
            <w:tcW w:w="1233"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完成日期</w:t>
            </w:r>
          </w:p>
        </w:tc>
        <w:tc>
          <w:tcPr>
            <w:tcW w:w="1183"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用户单位</w:t>
            </w:r>
          </w:p>
        </w:tc>
        <w:tc>
          <w:tcPr>
            <w:tcW w:w="1220"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联系电话</w:t>
            </w:r>
          </w:p>
        </w:tc>
        <w:tc>
          <w:tcPr>
            <w:tcW w:w="817"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rPr>
            </w:pPr>
          </w:p>
        </w:tc>
        <w:tc>
          <w:tcPr>
            <w:tcW w:w="1215" w:type="dxa"/>
            <w:vAlign w:val="center"/>
          </w:tcPr>
          <w:p>
            <w:pPr>
              <w:pStyle w:val="5"/>
              <w:snapToGrid w:val="0"/>
              <w:ind w:firstLine="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ind w:firstLine="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bl>
    <w:p>
      <w:pPr>
        <w:pStyle w:val="5"/>
        <w:snapToGrid w:val="0"/>
        <w:spacing w:line="360" w:lineRule="auto"/>
        <w:ind w:firstLine="0"/>
        <w:rPr>
          <w:rFonts w:hAnsi="宋体"/>
          <w:bCs/>
          <w:color w:val="000000" w:themeColor="text1"/>
          <w:sz w:val="21"/>
          <w:highlight w:val="none"/>
        </w:rPr>
      </w:pPr>
      <w:r>
        <w:rPr>
          <w:rFonts w:hint="eastAsia" w:hAnsi="宋体"/>
          <w:bCs/>
          <w:color w:val="000000" w:themeColor="text1"/>
          <w:sz w:val="21"/>
          <w:highlight w:val="none"/>
        </w:rPr>
        <w:t>注：如本表格式内容不能满足需要，投标人可自行划表填写，但必须体现以上内容。</w:t>
      </w:r>
    </w:p>
    <w:p>
      <w:pPr>
        <w:pStyle w:val="5"/>
        <w:snapToGrid w:val="0"/>
        <w:spacing w:line="360" w:lineRule="auto"/>
        <w:ind w:firstLine="0"/>
        <w:rPr>
          <w:rFonts w:hAnsi="宋体"/>
          <w:bCs/>
          <w:color w:val="000000" w:themeColor="text1"/>
          <w:sz w:val="21"/>
          <w:highlight w:val="none"/>
        </w:rPr>
      </w:pPr>
    </w:p>
    <w:p>
      <w:pPr>
        <w:pStyle w:val="5"/>
        <w:snapToGrid w:val="0"/>
        <w:spacing w:line="360" w:lineRule="auto"/>
        <w:ind w:firstLine="0"/>
        <w:rPr>
          <w:rFonts w:hAnsi="宋体"/>
          <w:bCs/>
          <w:color w:val="000000" w:themeColor="text1"/>
          <w:sz w:val="21"/>
          <w:highlight w:val="none"/>
        </w:rPr>
      </w:pPr>
    </w:p>
    <w:p>
      <w:pPr>
        <w:pStyle w:val="5"/>
        <w:snapToGrid w:val="0"/>
        <w:spacing w:line="360" w:lineRule="auto"/>
        <w:ind w:firstLine="0"/>
        <w:rPr>
          <w:rFonts w:hAnsi="宋体"/>
          <w:bCs/>
          <w:color w:val="000000" w:themeColor="text1"/>
          <w:sz w:val="21"/>
          <w:highlight w:val="none"/>
        </w:rPr>
      </w:pPr>
    </w:p>
    <w:p>
      <w:pPr>
        <w:pStyle w:val="5"/>
        <w:snapToGrid w:val="0"/>
        <w:spacing w:line="360" w:lineRule="auto"/>
        <w:ind w:firstLine="0"/>
        <w:rPr>
          <w:rFonts w:hAnsi="宋体"/>
          <w:bCs/>
          <w:color w:val="000000" w:themeColor="text1"/>
          <w:sz w:val="21"/>
          <w:highlight w:val="none"/>
        </w:rPr>
      </w:pPr>
    </w:p>
    <w:p>
      <w:pPr>
        <w:adjustRightInd w:val="0"/>
        <w:snapToGrid w:val="0"/>
        <w:spacing w:line="360" w:lineRule="auto"/>
        <w:rPr>
          <w:rFonts w:ascii="宋体" w:hAnsi="宋体"/>
          <w:bCs/>
          <w:color w:val="000000" w:themeColor="text1"/>
          <w:highlight w:val="none"/>
        </w:rPr>
      </w:pPr>
      <w:bookmarkStart w:id="2079" w:name="_Hlk534184880"/>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bookmarkEnd w:id="2079"/>
    </w:p>
    <w:p>
      <w:pPr>
        <w:pStyle w:val="4"/>
        <w:numPr>
          <w:ilvl w:val="1"/>
          <w:numId w:val="0"/>
        </w:numPr>
        <w:jc w:val="both"/>
        <w:rPr>
          <w:color w:val="000000" w:themeColor="text1"/>
          <w:highlight w:val="none"/>
        </w:rPr>
        <w:sectPr>
          <w:pgSz w:w="11906" w:h="16838"/>
          <w:pgMar w:top="1474" w:right="1418" w:bottom="1474" w:left="1418" w:header="851" w:footer="851" w:gutter="0"/>
          <w:cols w:space="720" w:num="1"/>
          <w:titlePg/>
          <w:docGrid w:linePitch="312" w:charSpace="0"/>
        </w:sectPr>
      </w:pPr>
    </w:p>
    <w:p>
      <w:pPr>
        <w:pStyle w:val="4"/>
        <w:numPr>
          <w:ilvl w:val="0"/>
          <w:numId w:val="0"/>
        </w:numPr>
        <w:spacing w:line="400" w:lineRule="exact"/>
        <w:rPr>
          <w:rFonts w:hAnsi="黑体" w:cs="黑体"/>
          <w:color w:val="000000" w:themeColor="text1"/>
          <w:highlight w:val="none"/>
        </w:rPr>
      </w:pPr>
      <w:bookmarkStart w:id="2080" w:name="_Toc23446"/>
      <w:bookmarkStart w:id="2081" w:name="_Toc432695229"/>
      <w:bookmarkStart w:id="2082" w:name="_Toc432682754"/>
      <w:bookmarkStart w:id="2083" w:name="_Toc430771089"/>
      <w:bookmarkStart w:id="2084" w:name="_Toc340507472"/>
      <w:bookmarkStart w:id="2085" w:name="_Toc340677100"/>
      <w:bookmarkStart w:id="2086" w:name="_Toc350438779"/>
      <w:bookmarkStart w:id="2087" w:name="_Toc342312473"/>
      <w:bookmarkStart w:id="2088" w:name="_Toc339019919"/>
      <w:bookmarkStart w:id="2089" w:name="_Toc331512931"/>
      <w:bookmarkStart w:id="2090" w:name="_Toc339020125"/>
      <w:bookmarkStart w:id="2091" w:name="_Toc331684072"/>
      <w:bookmarkStart w:id="2092" w:name="_Toc337632388"/>
      <w:bookmarkStart w:id="2093" w:name="_Toc342296791"/>
      <w:bookmarkStart w:id="2094" w:name="_Toc102451601"/>
      <w:bookmarkStart w:id="2095" w:name="_Toc333238664"/>
      <w:bookmarkStart w:id="2096" w:name="_Toc345312627"/>
      <w:bookmarkStart w:id="2097" w:name="_Toc339020263"/>
      <w:bookmarkStart w:id="2098" w:name="_Toc341348370"/>
      <w:bookmarkStart w:id="2099" w:name="_Toc333935717"/>
      <w:bookmarkStart w:id="2100" w:name="_Toc342060405"/>
      <w:bookmarkStart w:id="2101" w:name="_Toc339441117"/>
      <w:bookmarkStart w:id="2102" w:name="_Toc340672899"/>
      <w:bookmarkStart w:id="2103" w:name="_Toc333237819"/>
      <w:bookmarkStart w:id="2104" w:name="_Toc336681610"/>
      <w:bookmarkStart w:id="2105" w:name="_Toc333935376"/>
      <w:bookmarkStart w:id="2106" w:name="_Toc330460016"/>
      <w:bookmarkStart w:id="2107" w:name="_Toc350756480"/>
      <w:bookmarkStart w:id="2108" w:name="_Toc332270377"/>
      <w:bookmarkStart w:id="2109" w:name="_Toc342398160"/>
      <w:bookmarkStart w:id="2110" w:name="_Toc365967105"/>
      <w:bookmarkStart w:id="2111" w:name="_Toc343612950"/>
      <w:bookmarkStart w:id="2112" w:name="_Toc339362330"/>
      <w:bookmarkStart w:id="2113" w:name="_Toc333237708"/>
      <w:bookmarkStart w:id="2114" w:name="_Toc343248448"/>
      <w:bookmarkStart w:id="2115" w:name="_Toc336681965"/>
      <w:bookmarkStart w:id="2116" w:name="_Toc332206739"/>
      <w:bookmarkStart w:id="2117" w:name="_Toc365985211"/>
      <w:bookmarkStart w:id="2118" w:name="_Toc339020045"/>
      <w:bookmarkStart w:id="2119" w:name="_Toc343247130"/>
      <w:bookmarkStart w:id="2120" w:name="_Toc366072562"/>
      <w:r>
        <w:rPr>
          <w:rFonts w:hint="eastAsia"/>
          <w:color w:val="000000" w:themeColor="text1"/>
          <w:highlight w:val="none"/>
        </w:rPr>
        <w:t>附件七：</w:t>
      </w:r>
      <w:r>
        <w:rPr>
          <w:rFonts w:hint="eastAsia" w:hAnsi="黑体" w:cs="黑体"/>
          <w:color w:val="000000" w:themeColor="text1"/>
          <w:highlight w:val="none"/>
        </w:rPr>
        <w:t>中小微企业声明函</w:t>
      </w:r>
      <w:bookmarkEnd w:id="2080"/>
      <w:bookmarkEnd w:id="2081"/>
      <w:bookmarkEnd w:id="2082"/>
      <w:bookmarkEnd w:id="2083"/>
    </w:p>
    <w:p>
      <w:pPr>
        <w:spacing w:line="440" w:lineRule="exact"/>
        <w:ind w:firstLine="420"/>
        <w:rPr>
          <w:rFonts w:ascii="宋体"/>
          <w:color w:val="000000" w:themeColor="text1"/>
          <w:highlight w:val="none"/>
        </w:rPr>
      </w:pPr>
      <w:r>
        <w:rPr>
          <w:rFonts w:hint="eastAsia" w:ascii="宋体" w:hAnsi="宋体" w:cs="宋体"/>
          <w:color w:val="000000" w:themeColor="text1"/>
          <w:highlight w:val="none"/>
        </w:rPr>
        <w:t>本公司郑重声明，根据</w:t>
      </w:r>
      <w:r>
        <w:rPr>
          <w:rFonts w:ascii="宋体" w:hAnsi="宋体"/>
          <w:color w:val="000000" w:themeColor="text1"/>
          <w:szCs w:val="21"/>
          <w:highlight w:val="none"/>
        </w:rPr>
        <w:t>《政府采购促进中小企业发展管理办法》（财库﹝2020﹞46 号）</w:t>
      </w:r>
      <w:r>
        <w:rPr>
          <w:rFonts w:hint="eastAsia" w:ascii="宋体" w:hAnsi="宋体" w:cs="宋体"/>
          <w:color w:val="000000" w:themeColor="text1"/>
          <w:highlight w:val="none"/>
        </w:rPr>
        <w:t>的规定，本公司为</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（请填写：中型、小型、微型）企业。即，本公司同时满足以下条件：</w:t>
      </w:r>
    </w:p>
    <w:p>
      <w:pPr>
        <w:spacing w:line="440" w:lineRule="exact"/>
        <w:ind w:firstLine="420"/>
        <w:rPr>
          <w:rFonts w:ascii="宋体"/>
          <w:color w:val="000000" w:themeColor="text1"/>
          <w:highlight w:val="none"/>
        </w:rPr>
      </w:pPr>
      <w:r>
        <w:rPr>
          <w:rFonts w:ascii="宋体" w:hAnsi="宋体" w:cs="宋体"/>
          <w:color w:val="000000" w:themeColor="text1"/>
          <w:highlight w:val="none"/>
        </w:rPr>
        <w:t xml:space="preserve"> 1.</w:t>
      </w:r>
      <w:r>
        <w:rPr>
          <w:rFonts w:hint="eastAsia" w:ascii="宋体" w:hAnsi="宋体" w:cs="宋体"/>
          <w:color w:val="000000" w:themeColor="text1"/>
          <w:highlight w:val="none"/>
        </w:rPr>
        <w:t>根据《工业和信息化部、国家统计局、国家发展和改革委员会、财政部关于印发中小企业划型标准规定的通知》（工信部联企业</w:t>
      </w:r>
      <w:r>
        <w:rPr>
          <w:rFonts w:ascii="宋体" w:hAnsi="宋体" w:cs="宋体"/>
          <w:color w:val="000000" w:themeColor="text1"/>
          <w:highlight w:val="none"/>
        </w:rPr>
        <w:t xml:space="preserve">[2011]300 </w:t>
      </w:r>
      <w:r>
        <w:rPr>
          <w:rFonts w:hint="eastAsia" w:ascii="宋体" w:hAnsi="宋体" w:cs="宋体"/>
          <w:color w:val="000000" w:themeColor="text1"/>
          <w:highlight w:val="none"/>
        </w:rPr>
        <w:t>号）规定的划分标准：第四条第</w:t>
      </w:r>
      <w:r>
        <w:rPr>
          <w:rFonts w:ascii="宋体" w:hAnsi="宋体" w:cs="宋体"/>
          <w:color w:val="000000" w:themeColor="text1"/>
          <w:highlight w:val="none"/>
          <w:u w:val="single"/>
        </w:rPr>
        <w:t>______</w:t>
      </w:r>
      <w:r>
        <w:rPr>
          <w:rFonts w:hint="eastAsia" w:ascii="宋体" w:hAnsi="宋体" w:cs="宋体"/>
          <w:color w:val="000000" w:themeColor="text1"/>
          <w:highlight w:val="none"/>
        </w:rPr>
        <w:t>项</w:t>
      </w:r>
      <w:r>
        <w:rPr>
          <w:rFonts w:ascii="宋体" w:hAnsi="宋体" w:cs="宋体"/>
          <w:color w:val="000000" w:themeColor="text1"/>
          <w:highlight w:val="none"/>
          <w:u w:val="single"/>
        </w:rPr>
        <w:t>_________</w:t>
      </w:r>
      <w:r>
        <w:rPr>
          <w:rFonts w:hint="eastAsia" w:ascii="宋体" w:hAnsi="宋体" w:cs="宋体"/>
          <w:color w:val="000000" w:themeColor="text1"/>
          <w:highlight w:val="none"/>
        </w:rPr>
        <w:t>行业，本公司（此处填写从业人员或营业收入的具体数据），为</w:t>
      </w:r>
      <w:r>
        <w:rPr>
          <w:rFonts w:ascii="宋体" w:hAnsi="宋体" w:cs="宋体"/>
          <w:color w:val="000000" w:themeColor="text1"/>
          <w:highlight w:val="none"/>
          <w:u w:val="single"/>
        </w:rPr>
        <w:t xml:space="preserve"> ______</w:t>
      </w:r>
      <w:r>
        <w:rPr>
          <w:rFonts w:hint="eastAsia" w:ascii="宋体" w:hAnsi="宋体" w:cs="宋体"/>
          <w:color w:val="000000" w:themeColor="text1"/>
          <w:highlight w:val="none"/>
        </w:rPr>
        <w:t>（请填写：中型、小型、微型）企业。</w:t>
      </w:r>
    </w:p>
    <w:p>
      <w:pPr>
        <w:spacing w:line="440" w:lineRule="exact"/>
        <w:rPr>
          <w:rFonts w:ascii="宋体"/>
          <w:color w:val="000000" w:themeColor="text1"/>
          <w:highlight w:val="none"/>
        </w:rPr>
      </w:pPr>
      <w:r>
        <w:rPr>
          <w:rFonts w:ascii="宋体" w:hAnsi="宋体" w:cs="宋体"/>
          <w:color w:val="000000" w:themeColor="text1"/>
          <w:highlight w:val="none"/>
        </w:rPr>
        <w:t xml:space="preserve">     2.</w:t>
      </w:r>
      <w:r>
        <w:rPr>
          <w:rFonts w:hint="eastAsia" w:ascii="宋体" w:hAnsi="宋体" w:cs="宋体"/>
          <w:color w:val="000000" w:themeColor="text1"/>
          <w:highlight w:val="none"/>
        </w:rPr>
        <w:t>本公司参加</w:t>
      </w:r>
      <w:r>
        <w:rPr>
          <w:rFonts w:hint="eastAsia" w:ascii="宋体" w:hAnsi="宋体"/>
          <w:color w:val="000000" w:themeColor="text1"/>
          <w:highlight w:val="none"/>
        </w:rPr>
        <w:t>（项目名称：</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w:t>
      </w:r>
      <w:r>
        <w:rPr>
          <w:rFonts w:hint="eastAsia" w:ascii="宋体" w:hAnsi="宋体" w:cs="宋体"/>
          <w:color w:val="000000" w:themeColor="text1"/>
          <w:highlight w:val="none"/>
        </w:rPr>
        <w:t>（项目编号：</w:t>
      </w:r>
      <w:r>
        <w:rPr>
          <w:rFonts w:ascii="宋体" w:hAnsi="宋体" w:cs="宋体"/>
          <w:color w:val="000000" w:themeColor="text1"/>
          <w:highlight w:val="none"/>
        </w:rPr>
        <w:t xml:space="preserve"> </w:t>
      </w:r>
      <w:r>
        <w:rPr>
          <w:rFonts w:hint="eastAsia" w:ascii="宋体" w:hAnsi="宋体"/>
          <w:color w:val="000000" w:themeColor="text1"/>
          <w:highlight w:val="none"/>
          <w:u w:val="single"/>
        </w:rPr>
        <w:t xml:space="preserve">             </w:t>
      </w:r>
      <w:r>
        <w:rPr>
          <w:rFonts w:hint="eastAsia" w:ascii="宋体" w:hAnsi="宋体" w:cs="宋体"/>
          <w:color w:val="000000" w:themeColor="text1"/>
          <w:highlight w:val="none"/>
        </w:rPr>
        <w:t>）采购活动提供本企业制造的货物，由本企业承担工程、</w:t>
      </w:r>
      <w:r>
        <w:rPr>
          <w:rFonts w:ascii="宋体" w:hAnsi="宋体" w:cs="宋体"/>
          <w:color w:val="000000" w:themeColor="text1"/>
          <w:highlight w:val="none"/>
        </w:rPr>
        <w:t xml:space="preserve"> </w:t>
      </w:r>
      <w:r>
        <w:rPr>
          <w:rFonts w:hint="eastAsia" w:ascii="宋体" w:hAnsi="宋体" w:cs="宋体"/>
          <w:color w:val="000000" w:themeColor="text1"/>
          <w:highlight w:val="none"/>
        </w:rPr>
        <w:t>提供服务，或者提供其他</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（请填写：中型、小型、微型）企业制造的货物。本条所称货物不包括使用大型企业注册商标的货物。</w:t>
      </w:r>
      <w:r>
        <w:rPr>
          <w:rFonts w:ascii="宋体" w:hAnsi="宋体" w:cs="宋体"/>
          <w:color w:val="000000" w:themeColor="text1"/>
          <w:highlight w:val="none"/>
        </w:rPr>
        <w:t xml:space="preserve"> </w:t>
      </w:r>
      <w:r>
        <w:rPr>
          <w:rFonts w:hint="eastAsia" w:ascii="宋体" w:hAnsi="宋体" w:cs="宋体"/>
          <w:color w:val="000000" w:themeColor="text1"/>
          <w:highlight w:val="none"/>
        </w:rPr>
        <w:t>本公司对上述声明的真实性负责。如有虚假，将依法承担相应责任。</w:t>
      </w:r>
    </w:p>
    <w:p>
      <w:pPr>
        <w:spacing w:line="440" w:lineRule="exact"/>
        <w:rPr>
          <w:rFonts w:ascii="宋体"/>
          <w:color w:val="000000" w:themeColor="text1"/>
          <w:highlight w:val="none"/>
        </w:rPr>
      </w:pPr>
      <w:r>
        <w:rPr>
          <w:rFonts w:ascii="宋体" w:hAnsi="宋体" w:cs="宋体"/>
          <w:color w:val="000000" w:themeColor="text1"/>
          <w:highlight w:val="none"/>
        </w:rPr>
        <w:t xml:space="preserve">   </w:t>
      </w:r>
      <w:r>
        <w:rPr>
          <w:rFonts w:hint="eastAsia" w:ascii="宋体" w:hAnsi="宋体" w:cs="宋体"/>
          <w:color w:val="000000" w:themeColor="text1"/>
          <w:highlight w:val="none"/>
        </w:rPr>
        <w:t>本公司对上述声明的真实性负责。如有虚假，将依法承担相应责任。</w:t>
      </w:r>
    </w:p>
    <w:p>
      <w:pPr>
        <w:spacing w:line="440" w:lineRule="exact"/>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bookmarkStart w:id="2121" w:name="_Hlk534184837"/>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spacing w:line="440" w:lineRule="exact"/>
        <w:rPr>
          <w:rFonts w:ascii="宋体"/>
          <w:color w:val="000000" w:themeColor="text1"/>
          <w:highlight w:val="none"/>
        </w:rPr>
      </w:pPr>
      <w:r>
        <w:rPr>
          <w:rFonts w:ascii="宋体" w:hAnsi="宋体"/>
          <w:color w:val="000000" w:themeColor="text1"/>
          <w:szCs w:val="21"/>
          <w:highlight w:val="none"/>
        </w:rPr>
        <w:t>日期：</w:t>
      </w:r>
      <w:r>
        <w:rPr>
          <w:rFonts w:ascii="宋体" w:hAnsi="宋体"/>
          <w:color w:val="000000" w:themeColor="text1"/>
          <w:szCs w:val="21"/>
          <w:highlight w:val="none"/>
          <w:u w:val="single"/>
        </w:rPr>
        <w:t xml:space="preserve">       </w:t>
      </w:r>
      <w:r>
        <w:rPr>
          <w:rFonts w:ascii="宋体" w:hAnsi="宋体"/>
          <w:color w:val="000000" w:themeColor="text1"/>
          <w:szCs w:val="21"/>
          <w:highlight w:val="none"/>
        </w:rPr>
        <w:t>年</w:t>
      </w:r>
      <w:r>
        <w:rPr>
          <w:rFonts w:ascii="宋体" w:hAnsi="宋体"/>
          <w:color w:val="000000" w:themeColor="text1"/>
          <w:szCs w:val="21"/>
          <w:highlight w:val="none"/>
          <w:u w:val="single"/>
        </w:rPr>
        <w:t xml:space="preserve">     </w:t>
      </w:r>
      <w:r>
        <w:rPr>
          <w:rFonts w:ascii="宋体" w:hAnsi="宋体"/>
          <w:color w:val="000000" w:themeColor="text1"/>
          <w:szCs w:val="21"/>
          <w:highlight w:val="none"/>
        </w:rPr>
        <w:t>月</w:t>
      </w:r>
      <w:r>
        <w:rPr>
          <w:rFonts w:ascii="宋体" w:hAnsi="宋体"/>
          <w:color w:val="000000" w:themeColor="text1"/>
          <w:szCs w:val="21"/>
          <w:highlight w:val="none"/>
          <w:u w:val="single"/>
        </w:rPr>
        <w:t xml:space="preserve">      </w:t>
      </w:r>
      <w:r>
        <w:rPr>
          <w:rFonts w:ascii="宋体" w:hAnsi="宋体"/>
          <w:color w:val="000000" w:themeColor="text1"/>
          <w:szCs w:val="21"/>
          <w:highlight w:val="none"/>
        </w:rPr>
        <w:t>日</w:t>
      </w:r>
      <w:bookmarkEnd w:id="2121"/>
    </w:p>
    <w:p>
      <w:pPr>
        <w:spacing w:line="440" w:lineRule="exact"/>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说明：提供其他中小微企业制造的货物，必须同时提供该中小微企业的声明函。</w:t>
      </w: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4"/>
        <w:keepLines w:val="0"/>
        <w:numPr>
          <w:ilvl w:val="0"/>
          <w:numId w:val="0"/>
        </w:numPr>
        <w:tabs>
          <w:tab w:val="left" w:pos="851"/>
        </w:tabs>
        <w:spacing w:before="0" w:after="0" w:line="360" w:lineRule="auto"/>
        <w:rPr>
          <w:rFonts w:ascii="宋体" w:eastAsia="宋体"/>
          <w:color w:val="000000" w:themeColor="text1"/>
          <w:szCs w:val="21"/>
          <w:highlight w:val="none"/>
        </w:rPr>
      </w:pPr>
      <w:bookmarkStart w:id="2122" w:name="_Toc26129"/>
      <w:bookmarkStart w:id="2123" w:name="_Hlk534184757"/>
      <w:r>
        <w:rPr>
          <w:rFonts w:hint="eastAsia"/>
          <w:color w:val="000000" w:themeColor="text1"/>
          <w:highlight w:val="none"/>
        </w:rPr>
        <w:t>附件八：</w:t>
      </w:r>
      <w:r>
        <w:rPr>
          <w:rFonts w:hint="eastAsia" w:hAnsi="黑体" w:cs="黑体"/>
          <w:color w:val="000000" w:themeColor="text1"/>
          <w:highlight w:val="none"/>
        </w:rPr>
        <w:t>残疾人福利性单位声明函</w:t>
      </w:r>
      <w:bookmarkEnd w:id="2122"/>
    </w:p>
    <w:p>
      <w:pPr>
        <w:spacing w:line="360" w:lineRule="auto"/>
        <w:jc w:val="center"/>
        <w:rPr>
          <w:rFonts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残疾人福利性单位声明函</w:t>
      </w:r>
    </w:p>
    <w:p>
      <w:pPr>
        <w:spacing w:line="360" w:lineRule="auto"/>
        <w:jc w:val="center"/>
        <w:rPr>
          <w:rFonts w:ascii="宋体" w:hAnsi="宋体"/>
          <w:b/>
          <w:color w:val="000000" w:themeColor="text1"/>
          <w:sz w:val="24"/>
          <w:highlight w:val="none"/>
        </w:rPr>
      </w:pPr>
    </w:p>
    <w:p>
      <w:pPr>
        <w:spacing w:line="480" w:lineRule="auto"/>
        <w:jc w:val="left"/>
        <w:rPr>
          <w:rFonts w:ascii="宋体" w:hAnsi="宋体" w:cs="宋体"/>
          <w:color w:val="000000" w:themeColor="text1"/>
          <w:highlight w:val="none"/>
        </w:rPr>
      </w:pPr>
      <w:r>
        <w:rPr>
          <w:rFonts w:hint="eastAsia" w:ascii="宋体" w:hAnsi="宋体" w:cs="宋体"/>
          <w:color w:val="000000" w:themeColor="text1"/>
          <w:highlight w:val="none"/>
        </w:rPr>
        <w:t xml:space="preserve"> </w:t>
      </w:r>
      <w:r>
        <w:rPr>
          <w:rFonts w:ascii="宋体" w:hAnsi="宋体" w:cs="宋体"/>
          <w:color w:val="000000" w:themeColor="text1"/>
          <w:highlight w:val="none"/>
        </w:rPr>
        <w:t xml:space="preserve">   </w:t>
      </w:r>
      <w:r>
        <w:rPr>
          <w:rFonts w:hint="eastAsia" w:ascii="宋体" w:hAnsi="宋体" w:cs="宋体"/>
          <w:color w:val="000000" w:themeColor="text1"/>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rPr>
      </w:pPr>
      <w:r>
        <w:rPr>
          <w:rFonts w:hint="eastAsia" w:ascii="宋体" w:hAnsi="宋体" w:cs="宋体"/>
          <w:color w:val="000000" w:themeColor="text1"/>
          <w:highlight w:val="none"/>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投标人法定代表人（负责人）或授权代理人（签字）：</w:t>
      </w:r>
      <w:r>
        <w:rPr>
          <w:rFonts w:hint="eastAsia" w:ascii="宋体" w:hAnsi="宋体"/>
          <w:bCs/>
          <w:color w:val="000000" w:themeColor="text1"/>
          <w:szCs w:val="21"/>
          <w:highlight w:val="none"/>
          <w:u w:val="single"/>
        </w:rPr>
        <w:t xml:space="preserve">                            </w:t>
      </w: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投标人名称（公章）：</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p>
    <w:p>
      <w:pPr>
        <w:pStyle w:val="5"/>
        <w:spacing w:line="360" w:lineRule="auto"/>
        <w:ind w:firstLine="0"/>
        <w:rPr>
          <w:rFonts w:hAnsi="宋体" w:cs="宋体"/>
          <w:color w:val="000000" w:themeColor="text1"/>
          <w:kern w:val="2"/>
          <w:sz w:val="21"/>
          <w:szCs w:val="24"/>
          <w:highlight w:val="none"/>
        </w:rPr>
      </w:pPr>
      <w:r>
        <w:rPr>
          <w:rFonts w:hAnsi="宋体"/>
          <w:color w:val="000000" w:themeColor="text1"/>
          <w:sz w:val="21"/>
          <w:szCs w:val="21"/>
          <w:highlight w:val="none"/>
        </w:rPr>
        <w:t>日期：</w:t>
      </w:r>
      <w:r>
        <w:rPr>
          <w:rFonts w:hAnsi="宋体"/>
          <w:color w:val="000000" w:themeColor="text1"/>
          <w:sz w:val="21"/>
          <w:szCs w:val="21"/>
          <w:highlight w:val="none"/>
          <w:u w:val="single"/>
        </w:rPr>
        <w:t xml:space="preserve">       </w:t>
      </w:r>
      <w:r>
        <w:rPr>
          <w:rFonts w:hAnsi="宋体"/>
          <w:color w:val="000000" w:themeColor="text1"/>
          <w:sz w:val="21"/>
          <w:szCs w:val="21"/>
          <w:highlight w:val="none"/>
        </w:rPr>
        <w:t>年</w:t>
      </w:r>
      <w:r>
        <w:rPr>
          <w:rFonts w:hAnsi="宋体"/>
          <w:color w:val="000000" w:themeColor="text1"/>
          <w:sz w:val="21"/>
          <w:szCs w:val="21"/>
          <w:highlight w:val="none"/>
          <w:u w:val="single"/>
        </w:rPr>
        <w:t xml:space="preserve">     </w:t>
      </w:r>
      <w:r>
        <w:rPr>
          <w:rFonts w:hAnsi="宋体"/>
          <w:color w:val="000000" w:themeColor="text1"/>
          <w:sz w:val="21"/>
          <w:szCs w:val="21"/>
          <w:highlight w:val="none"/>
        </w:rPr>
        <w:t>月</w:t>
      </w:r>
      <w:r>
        <w:rPr>
          <w:rFonts w:hAnsi="宋体"/>
          <w:color w:val="000000" w:themeColor="text1"/>
          <w:sz w:val="21"/>
          <w:szCs w:val="21"/>
          <w:highlight w:val="none"/>
          <w:u w:val="single"/>
        </w:rPr>
        <w:t xml:space="preserve">      </w:t>
      </w:r>
      <w:r>
        <w:rPr>
          <w:rFonts w:hAnsi="宋体"/>
          <w:color w:val="000000" w:themeColor="text1"/>
          <w:sz w:val="21"/>
          <w:szCs w:val="21"/>
          <w:highlight w:val="none"/>
        </w:rPr>
        <w:t>日</w:t>
      </w: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4"/>
        <w:numPr>
          <w:ilvl w:val="1"/>
          <w:numId w:val="0"/>
        </w:numPr>
        <w:spacing w:line="400" w:lineRule="exact"/>
        <w:rPr>
          <w:color w:val="000000" w:themeColor="text1"/>
          <w:highlight w:val="none"/>
        </w:rPr>
      </w:pPr>
      <w:bookmarkStart w:id="2124" w:name="_Toc432695230"/>
      <w:bookmarkStart w:id="2125" w:name="_Toc15625"/>
      <w:r>
        <w:rPr>
          <w:rFonts w:hint="eastAsia"/>
          <w:color w:val="000000" w:themeColor="text1"/>
          <w:highlight w:val="none"/>
        </w:rPr>
        <w:t>附件九：中标服务费承诺</w:t>
      </w:r>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099"/>
      <w:bookmarkEnd w:id="2100"/>
      <w:bookmarkEnd w:id="2101"/>
      <w:bookmarkEnd w:id="2102"/>
      <w:bookmarkEnd w:id="2103"/>
      <w:bookmarkEnd w:id="2104"/>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4"/>
      <w:bookmarkEnd w:id="2125"/>
    </w:p>
    <w:p>
      <w:pPr>
        <w:spacing w:line="360" w:lineRule="auto"/>
        <w:rPr>
          <w:rFonts w:ascii="宋体" w:hAnsi="宋体"/>
          <w:color w:val="000000" w:themeColor="text1"/>
          <w:highlight w:val="none"/>
        </w:rPr>
      </w:pPr>
      <w:r>
        <w:rPr>
          <w:rFonts w:hint="eastAsia" w:ascii="宋体" w:hAnsi="宋体"/>
          <w:color w:val="000000" w:themeColor="text1"/>
          <w:highlight w:val="none"/>
        </w:rPr>
        <w:t>致</w:t>
      </w:r>
      <w:r>
        <w:rPr>
          <w:rFonts w:hint="eastAsia" w:ascii="宋体" w:hAnsi="宋体"/>
          <w:color w:val="000000" w:themeColor="text1"/>
          <w:highlight w:val="none"/>
          <w:u w:val="single"/>
        </w:rPr>
        <w:t>广东业信采购招标有限公司</w:t>
      </w:r>
      <w:r>
        <w:rPr>
          <w:rFonts w:hint="eastAsia" w:ascii="宋体" w:hAnsi="宋体"/>
          <w:color w:val="000000" w:themeColor="text1"/>
          <w:highlight w:val="none"/>
        </w:rPr>
        <w:t>：</w:t>
      </w:r>
    </w:p>
    <w:p>
      <w:pPr>
        <w:spacing w:line="360" w:lineRule="auto"/>
        <w:rPr>
          <w:rFonts w:ascii="宋体" w:hAnsi="宋体"/>
          <w:color w:val="000000" w:themeColor="text1"/>
          <w:highlight w:val="none"/>
        </w:rPr>
      </w:pP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针对贵方组织的（项目名称：</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）招标（项目编号: </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），我方承诺：</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1. 若我方中标，将严格遵照本项目招标文件的规定向代理采购机构缴纳中标服务费。</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rPr>
        <w:t>方</w:t>
      </w:r>
      <w:r>
        <w:rPr>
          <w:rFonts w:hint="eastAsia" w:ascii="宋体" w:hAnsi="宋体"/>
          <w:color w:val="000000" w:themeColor="text1"/>
          <w:highlight w:val="none"/>
        </w:rPr>
        <w:t>有权不予退还我方的投标保证金并重新确定中标结果，</w:t>
      </w:r>
      <w:r>
        <w:rPr>
          <w:rFonts w:hint="eastAsia" w:ascii="宋体"/>
          <w:color w:val="000000" w:themeColor="text1"/>
          <w:highlight w:val="none"/>
        </w:rPr>
        <w:t>我方对此无任何异议。</w:t>
      </w:r>
    </w:p>
    <w:p>
      <w:pPr>
        <w:spacing w:line="440" w:lineRule="exact"/>
        <w:rPr>
          <w:rFonts w:ascii="宋体" w:hAnsi="宋体"/>
          <w:color w:val="000000" w:themeColor="text1"/>
          <w:highlight w:val="none"/>
        </w:rPr>
      </w:pPr>
      <w:r>
        <w:rPr>
          <w:rFonts w:hint="eastAsia" w:ascii="宋体" w:hAnsi="宋体"/>
          <w:color w:val="000000" w:themeColor="text1"/>
          <w:highlight w:val="none"/>
        </w:rPr>
        <w:t xml:space="preserve">     </w:t>
      </w:r>
    </w:p>
    <w:p>
      <w:pPr>
        <w:spacing w:line="440" w:lineRule="exact"/>
        <w:ind w:firstLine="420" w:firstLineChars="200"/>
        <w:rPr>
          <w:rFonts w:ascii="宋体" w:hAns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color w:val="000000" w:themeColor="text1"/>
          <w:highlight w:val="none"/>
        </w:rPr>
        <w:sectPr>
          <w:pgSz w:w="11906" w:h="16838"/>
          <w:pgMar w:top="1474" w:right="1418" w:bottom="1474" w:left="1418" w:header="851" w:footer="851" w:gutter="0"/>
          <w:cols w:space="720" w:num="1"/>
          <w:titlePg/>
          <w:docGrid w:linePitch="312" w:charSpace="0"/>
        </w:sectPr>
      </w:pPr>
    </w:p>
    <w:p>
      <w:pPr>
        <w:pStyle w:val="4"/>
        <w:numPr>
          <w:ilvl w:val="1"/>
          <w:numId w:val="0"/>
        </w:numPr>
        <w:spacing w:line="400" w:lineRule="exact"/>
        <w:rPr>
          <w:color w:val="000000" w:themeColor="text1"/>
          <w:highlight w:val="none"/>
        </w:rPr>
      </w:pPr>
      <w:bookmarkStart w:id="2126" w:name="_Toc326065622"/>
      <w:bookmarkStart w:id="2127" w:name="_Toc366072563"/>
      <w:bookmarkStart w:id="2128" w:name="_Toc333935718"/>
      <w:bookmarkStart w:id="2129" w:name="_Toc331512932"/>
      <w:bookmarkStart w:id="2130" w:name="_Toc343247131"/>
      <w:bookmarkStart w:id="2131" w:name="_Toc336681611"/>
      <w:bookmarkStart w:id="2132" w:name="_Toc339019920"/>
      <w:bookmarkStart w:id="2133" w:name="_Toc365967106"/>
      <w:bookmarkStart w:id="2134" w:name="_Toc333237709"/>
      <w:bookmarkStart w:id="2135" w:name="_Toc339441118"/>
      <w:bookmarkStart w:id="2136" w:name="_Toc5205"/>
      <w:bookmarkStart w:id="2137" w:name="_Toc332270378"/>
      <w:bookmarkStart w:id="2138" w:name="_Toc340677101"/>
      <w:bookmarkStart w:id="2139" w:name="_Toc342296792"/>
      <w:bookmarkStart w:id="2140" w:name="_Toc339020046"/>
      <w:bookmarkStart w:id="2141" w:name="_Toc330460017"/>
      <w:bookmarkStart w:id="2142" w:name="_Toc342060406"/>
      <w:bookmarkStart w:id="2143" w:name="_Toc345312628"/>
      <w:bookmarkStart w:id="2144" w:name="_Toc365985212"/>
      <w:bookmarkStart w:id="2145" w:name="_Toc340507473"/>
      <w:bookmarkStart w:id="2146" w:name="_Toc331684073"/>
      <w:bookmarkStart w:id="2147" w:name="_Toc333935377"/>
      <w:bookmarkStart w:id="2148" w:name="_Toc343248449"/>
      <w:bookmarkStart w:id="2149" w:name="_Toc341348371"/>
      <w:bookmarkStart w:id="2150" w:name="_Toc340672900"/>
      <w:bookmarkStart w:id="2151" w:name="_Toc342312474"/>
      <w:bookmarkStart w:id="2152" w:name="_Toc343612951"/>
      <w:bookmarkStart w:id="2153" w:name="_Toc333237820"/>
      <w:bookmarkStart w:id="2154" w:name="_Toc339020264"/>
      <w:bookmarkStart w:id="2155" w:name="_Toc333238665"/>
      <w:bookmarkStart w:id="2156" w:name="_Toc432695231"/>
      <w:bookmarkStart w:id="2157" w:name="_Toc337632389"/>
      <w:bookmarkStart w:id="2158" w:name="_Toc332206740"/>
      <w:bookmarkStart w:id="2159" w:name="_Toc336681966"/>
      <w:bookmarkStart w:id="2160" w:name="_Toc339020126"/>
      <w:bookmarkStart w:id="2161" w:name="_Toc350756481"/>
      <w:bookmarkStart w:id="2162" w:name="_Toc350438780"/>
      <w:bookmarkStart w:id="2163" w:name="_Toc339362331"/>
      <w:bookmarkStart w:id="2164" w:name="_Toc342398161"/>
      <w:r>
        <w:rPr>
          <w:rFonts w:hint="eastAsia"/>
          <w:color w:val="000000" w:themeColor="text1"/>
          <w:highlight w:val="none"/>
        </w:rPr>
        <w:t>附件十：</w:t>
      </w:r>
      <w:bookmarkEnd w:id="2126"/>
      <w:r>
        <w:rPr>
          <w:rFonts w:hint="eastAsia"/>
          <w:color w:val="000000" w:themeColor="text1"/>
          <w:highlight w:val="none"/>
        </w:rPr>
        <w:t>投标人提交的其它商务和技术资料</w:t>
      </w:r>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bookmarkEnd w:id="2142"/>
      <w:bookmarkEnd w:id="2143"/>
      <w:bookmarkEnd w:id="2144"/>
      <w:bookmarkEnd w:id="2145"/>
      <w:bookmarkEnd w:id="2146"/>
      <w:bookmarkEnd w:id="2147"/>
      <w:bookmarkEnd w:id="2148"/>
      <w:bookmarkEnd w:id="2149"/>
      <w:bookmarkEnd w:id="2150"/>
      <w:bookmarkEnd w:id="2151"/>
      <w:bookmarkEnd w:id="2152"/>
      <w:bookmarkEnd w:id="2153"/>
      <w:bookmarkEnd w:id="2154"/>
      <w:bookmarkEnd w:id="2155"/>
      <w:bookmarkEnd w:id="2156"/>
      <w:bookmarkEnd w:id="2157"/>
      <w:bookmarkEnd w:id="2158"/>
      <w:bookmarkEnd w:id="2159"/>
      <w:bookmarkEnd w:id="2160"/>
      <w:bookmarkEnd w:id="2161"/>
      <w:bookmarkEnd w:id="2162"/>
      <w:bookmarkEnd w:id="2163"/>
      <w:bookmarkEnd w:id="2164"/>
    </w:p>
    <w:p>
      <w:pPr>
        <w:adjustRightInd w:val="0"/>
        <w:snapToGrid w:val="0"/>
        <w:spacing w:line="360" w:lineRule="auto"/>
        <w:jc w:val="left"/>
        <w:rPr>
          <w:rFonts w:ascii="宋体" w:hAnsi="宋体"/>
          <w:bCs/>
          <w:color w:val="000000" w:themeColor="text1"/>
          <w:highlight w:val="none"/>
        </w:rPr>
      </w:pPr>
    </w:p>
    <w:p>
      <w:pPr>
        <w:adjustRightInd w:val="0"/>
        <w:snapToGrid w:val="0"/>
        <w:spacing w:line="360" w:lineRule="auto"/>
        <w:jc w:val="left"/>
        <w:rPr>
          <w:rFonts w:ascii="宋体" w:hAnsi="宋体"/>
          <w:bCs/>
          <w:caps/>
          <w:color w:val="000000" w:themeColor="text1"/>
          <w:szCs w:val="21"/>
          <w:highlight w:val="none"/>
          <w:u w:val="single"/>
        </w:rPr>
      </w:pPr>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p>
    <w:p>
      <w:pPr>
        <w:pStyle w:val="5"/>
        <w:spacing w:line="360" w:lineRule="auto"/>
        <w:rPr>
          <w:rFonts w:hAnsi="宋体"/>
          <w:bCs/>
          <w:color w:val="000000" w:themeColor="text1"/>
          <w:sz w:val="21"/>
          <w:highlight w:val="none"/>
        </w:rPr>
      </w:pP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本节无格式要求，投标人可根据自身实际情况以及招标文件评分细则规定的详细评审内容和应当提供的证明材料进行编制。</w:t>
      </w: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一、</w:t>
      </w:r>
      <w:r>
        <w:rPr>
          <w:rFonts w:hAnsi="宋体"/>
          <w:bCs/>
          <w:color w:val="000000" w:themeColor="text1"/>
          <w:sz w:val="21"/>
          <w:highlight w:val="none"/>
        </w:rPr>
        <w:t>...</w:t>
      </w: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二、</w:t>
      </w:r>
      <w:r>
        <w:rPr>
          <w:rFonts w:hAnsi="宋体"/>
          <w:bCs/>
          <w:color w:val="000000" w:themeColor="text1"/>
          <w:sz w:val="21"/>
          <w:highlight w:val="none"/>
        </w:rPr>
        <w:t>...</w:t>
      </w: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三、</w:t>
      </w:r>
      <w:r>
        <w:rPr>
          <w:rFonts w:hAnsi="宋体"/>
          <w:bCs/>
          <w:color w:val="000000" w:themeColor="text1"/>
          <w:sz w:val="21"/>
          <w:highlight w:val="none"/>
        </w:rPr>
        <w:t>...</w:t>
      </w: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四、</w:t>
      </w:r>
      <w:r>
        <w:rPr>
          <w:rFonts w:hAnsi="宋体"/>
          <w:bCs/>
          <w:color w:val="000000" w:themeColor="text1"/>
          <w:sz w:val="21"/>
          <w:highlight w:val="none"/>
        </w:rPr>
        <w:t>...</w:t>
      </w: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5"/>
        <w:spacing w:line="360" w:lineRule="auto"/>
        <w:rPr>
          <w:color w:val="000000" w:themeColor="text1"/>
          <w:highlight w:val="none"/>
        </w:rPr>
      </w:pPr>
    </w:p>
    <w:p>
      <w:pPr>
        <w:adjustRightInd w:val="0"/>
        <w:snapToGrid w:val="0"/>
        <w:spacing w:line="440" w:lineRule="exact"/>
        <w:rPr>
          <w:color w:val="000000" w:themeColor="text1"/>
          <w:highlight w:val="none"/>
        </w:rPr>
      </w:pPr>
      <w:r>
        <w:rPr>
          <w:rFonts w:hint="eastAsia"/>
          <w:color w:val="000000" w:themeColor="text1"/>
          <w:highlight w:val="none"/>
        </w:rPr>
        <w:t>（投标人认为本节无须提交的，应注明“本节空白”字样）。</w:t>
      </w:r>
    </w:p>
    <w:p>
      <w:pPr>
        <w:pStyle w:val="5"/>
        <w:rPr>
          <w:color w:val="000000" w:themeColor="text1"/>
          <w:highlight w:val="none"/>
        </w:rPr>
      </w:pPr>
      <w:bookmarkStart w:id="2165" w:name="_Toc434832511"/>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bookmarkEnd w:id="2123"/>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4"/>
        <w:numPr>
          <w:ilvl w:val="0"/>
          <w:numId w:val="0"/>
        </w:numPr>
        <w:rPr>
          <w:color w:val="000000" w:themeColor="text1"/>
          <w:sz w:val="52"/>
          <w:highlight w:val="none"/>
        </w:rPr>
      </w:pPr>
      <w:bookmarkStart w:id="2166" w:name="_Toc456888293"/>
      <w:bookmarkStart w:id="2167" w:name="_Toc31620"/>
      <w:bookmarkStart w:id="2168" w:name="_Toc456887842"/>
      <w:r>
        <w:rPr>
          <w:rFonts w:hint="eastAsia"/>
          <w:color w:val="000000" w:themeColor="text1"/>
          <w:sz w:val="52"/>
          <w:highlight w:val="none"/>
        </w:rPr>
        <w:t>其 他 格 式</w:t>
      </w:r>
      <w:bookmarkEnd w:id="2165"/>
      <w:bookmarkEnd w:id="2166"/>
      <w:bookmarkEnd w:id="2167"/>
      <w:bookmarkEnd w:id="2168"/>
    </w:p>
    <w:p>
      <w:pPr>
        <w:jc w:val="center"/>
        <w:rPr>
          <w:rFonts w:ascii="宋体" w:hAnsi="宋体"/>
          <w:b/>
          <w:color w:val="000000" w:themeColor="text1"/>
          <w:sz w:val="28"/>
          <w:highlight w:val="none"/>
        </w:rPr>
      </w:pPr>
      <w:r>
        <w:rPr>
          <w:rFonts w:hint="eastAsia" w:ascii="宋体" w:hAnsi="宋体"/>
          <w:b/>
          <w:color w:val="000000" w:themeColor="text1"/>
          <w:sz w:val="36"/>
          <w:highlight w:val="none"/>
        </w:rPr>
        <w:t>（以下文件勿装订在投标文件内</w:t>
      </w:r>
      <w:r>
        <w:rPr>
          <w:rFonts w:ascii="宋体" w:hAnsi="宋体"/>
          <w:b/>
          <w:color w:val="000000" w:themeColor="text1"/>
          <w:sz w:val="36"/>
          <w:highlight w:val="none"/>
        </w:rPr>
        <w:t>）</w:t>
      </w: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pStyle w:val="6"/>
        <w:numPr>
          <w:ilvl w:val="0"/>
          <w:numId w:val="0"/>
        </w:numPr>
        <w:spacing w:afterLines="50"/>
        <w:jc w:val="center"/>
        <w:rPr>
          <w:rFonts w:ascii="宋体" w:hAnsi="宋体" w:eastAsia="宋体"/>
          <w:b/>
          <w:bCs w:val="0"/>
          <w:color w:val="000000" w:themeColor="text1"/>
          <w:sz w:val="28"/>
          <w:highlight w:val="none"/>
        </w:rPr>
      </w:pPr>
      <w:bookmarkStart w:id="2169" w:name="_Toc456888294"/>
      <w:bookmarkStart w:id="2170" w:name="_Toc14770"/>
      <w:bookmarkStart w:id="2171" w:name="_Toc456887843"/>
      <w:r>
        <w:rPr>
          <w:rFonts w:hint="eastAsia" w:ascii="宋体" w:hAnsi="宋体" w:eastAsia="宋体"/>
          <w:b/>
          <w:bCs w:val="0"/>
          <w:color w:val="000000" w:themeColor="text1"/>
          <w:sz w:val="28"/>
          <w:highlight w:val="none"/>
        </w:rPr>
        <w:t>投标保证金退付书</w:t>
      </w:r>
      <w:bookmarkEnd w:id="2169"/>
      <w:bookmarkEnd w:id="2170"/>
      <w:bookmarkEnd w:id="2171"/>
    </w:p>
    <w:p>
      <w:pPr>
        <w:pStyle w:val="5"/>
        <w:rPr>
          <w:color w:val="000000" w:themeColor="text1"/>
          <w:highlight w:val="none"/>
        </w:rPr>
      </w:pPr>
    </w:p>
    <w:p>
      <w:pPr>
        <w:spacing w:line="288" w:lineRule="auto"/>
        <w:rPr>
          <w:rFonts w:ascii="宋体" w:hAnsi="宋体"/>
          <w:b/>
          <w:color w:val="000000" w:themeColor="text1"/>
          <w:szCs w:val="21"/>
          <w:highlight w:val="none"/>
        </w:rPr>
      </w:pPr>
      <w:r>
        <w:rPr>
          <w:rFonts w:hint="eastAsia" w:ascii="宋体" w:hAnsi="宋体"/>
          <w:b/>
          <w:color w:val="000000" w:themeColor="text1"/>
          <w:szCs w:val="21"/>
          <w:highlight w:val="none"/>
        </w:rPr>
        <w:t>致：广东业信采购招标有限公司</w:t>
      </w:r>
    </w:p>
    <w:p>
      <w:pPr>
        <w:spacing w:line="288"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本公司为本项目的投标已提交了足额投标保证金，请贵方在符合退还条件时请代划入下列账户：</w:t>
      </w:r>
    </w:p>
    <w:tbl>
      <w:tblPr>
        <w:tblStyle w:val="47"/>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3"/>
                <w:b/>
                <w:color w:val="000000" w:themeColor="text1"/>
                <w:spacing w:val="10"/>
                <w:sz w:val="21"/>
                <w:szCs w:val="21"/>
                <w:highlight w:val="none"/>
                <w:lang w:val="zh-CN"/>
              </w:rPr>
            </w:pPr>
            <w:r>
              <w:rPr>
                <w:rStyle w:val="303"/>
                <w:b/>
                <w:color w:val="000000" w:themeColor="text1"/>
                <w:spacing w:val="10"/>
                <w:sz w:val="21"/>
                <w:szCs w:val="21"/>
                <w:highlight w:val="none"/>
                <w:lang w:val="zh-CN"/>
              </w:rPr>
              <w:t>项目名称</w:t>
            </w:r>
          </w:p>
        </w:tc>
        <w:tc>
          <w:tcPr>
            <w:tcW w:w="6095" w:type="dxa"/>
            <w:gridSpan w:val="3"/>
          </w:tcPr>
          <w:p>
            <w:pPr>
              <w:ind w:right="206" w:rightChars="98"/>
              <w:rPr>
                <w:rStyle w:val="303"/>
                <w:rFonts w:ascii="宋体" w:hAnsi="宋体"/>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3"/>
                <w:b/>
                <w:color w:val="000000" w:themeColor="text1"/>
                <w:spacing w:val="10"/>
                <w:sz w:val="21"/>
                <w:szCs w:val="21"/>
                <w:highlight w:val="none"/>
                <w:lang w:val="zh-CN"/>
              </w:rPr>
            </w:pPr>
            <w:r>
              <w:rPr>
                <w:rStyle w:val="303"/>
                <w:b/>
                <w:color w:val="000000" w:themeColor="text1"/>
                <w:spacing w:val="10"/>
                <w:sz w:val="21"/>
                <w:szCs w:val="21"/>
                <w:highlight w:val="none"/>
                <w:lang w:val="zh-CN"/>
              </w:rPr>
              <w:t>项目编号</w:t>
            </w:r>
          </w:p>
        </w:tc>
        <w:tc>
          <w:tcPr>
            <w:tcW w:w="6095" w:type="dxa"/>
            <w:gridSpan w:val="3"/>
          </w:tcPr>
          <w:p>
            <w:pPr>
              <w:ind w:right="206" w:rightChars="98"/>
              <w:rPr>
                <w:rStyle w:val="303"/>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3"/>
                <w:b/>
                <w:color w:val="000000" w:themeColor="text1"/>
                <w:spacing w:val="10"/>
                <w:sz w:val="21"/>
                <w:szCs w:val="21"/>
                <w:highlight w:val="none"/>
                <w:lang w:val="zh-CN"/>
              </w:rPr>
            </w:pPr>
            <w:r>
              <w:rPr>
                <w:rStyle w:val="303"/>
                <w:b/>
                <w:color w:val="000000" w:themeColor="text1"/>
                <w:spacing w:val="10"/>
                <w:sz w:val="21"/>
                <w:szCs w:val="21"/>
                <w:highlight w:val="none"/>
                <w:lang w:val="zh-CN"/>
              </w:rPr>
              <w:t>收款单位</w:t>
            </w:r>
          </w:p>
        </w:tc>
        <w:tc>
          <w:tcPr>
            <w:tcW w:w="2836" w:type="dxa"/>
          </w:tcPr>
          <w:p>
            <w:pPr>
              <w:ind w:right="206" w:rightChars="98"/>
              <w:jc w:val="center"/>
              <w:rPr>
                <w:rStyle w:val="303"/>
                <w:b/>
                <w:color w:val="000000" w:themeColor="text1"/>
                <w:spacing w:val="10"/>
                <w:sz w:val="21"/>
                <w:szCs w:val="21"/>
                <w:highlight w:val="none"/>
                <w:lang w:val="zh-CN"/>
              </w:rPr>
            </w:pPr>
            <w:r>
              <w:rPr>
                <w:rStyle w:val="303"/>
                <w:b/>
                <w:color w:val="000000" w:themeColor="text1"/>
                <w:spacing w:val="10"/>
                <w:sz w:val="21"/>
                <w:szCs w:val="21"/>
                <w:highlight w:val="none"/>
                <w:lang w:val="zh-CN"/>
              </w:rPr>
              <w:t>收款单位名称</w:t>
            </w:r>
          </w:p>
        </w:tc>
        <w:tc>
          <w:tcPr>
            <w:tcW w:w="6095" w:type="dxa"/>
            <w:gridSpan w:val="3"/>
          </w:tcPr>
          <w:p>
            <w:pPr>
              <w:ind w:right="206" w:rightChars="98"/>
              <w:jc w:val="center"/>
              <w:rPr>
                <w:rStyle w:val="303"/>
                <w:color w:val="000000" w:themeColor="text1"/>
                <w:spacing w:val="10"/>
                <w:sz w:val="21"/>
                <w:szCs w:val="21"/>
                <w:highlight w:val="none"/>
                <w:u w:val="single"/>
                <w:lang w:val="zh-CN"/>
              </w:rPr>
            </w:pPr>
            <w:r>
              <w:rPr>
                <w:rStyle w:val="303"/>
                <w:color w:val="000000" w:themeColor="text1"/>
                <w:spacing w:val="10"/>
                <w:sz w:val="21"/>
                <w:szCs w:val="21"/>
                <w:highlight w:val="none"/>
                <w:u w:val="single"/>
                <w:lang w:val="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rPr>
            </w:pPr>
          </w:p>
        </w:tc>
        <w:tc>
          <w:tcPr>
            <w:tcW w:w="2836" w:type="dxa"/>
          </w:tcPr>
          <w:p>
            <w:pPr>
              <w:ind w:right="206" w:rightChars="98"/>
              <w:jc w:val="center"/>
              <w:rPr>
                <w:rStyle w:val="303"/>
                <w:b/>
                <w:color w:val="000000" w:themeColor="text1"/>
                <w:spacing w:val="10"/>
                <w:sz w:val="21"/>
                <w:szCs w:val="21"/>
                <w:highlight w:val="none"/>
                <w:lang w:val="zh-CN"/>
              </w:rPr>
            </w:pPr>
            <w:r>
              <w:rPr>
                <w:rStyle w:val="303"/>
                <w:b/>
                <w:color w:val="000000" w:themeColor="text1"/>
                <w:spacing w:val="10"/>
                <w:sz w:val="21"/>
                <w:szCs w:val="21"/>
                <w:highlight w:val="none"/>
                <w:lang w:val="zh-CN"/>
              </w:rPr>
              <w:t>收款单位地址</w:t>
            </w:r>
          </w:p>
        </w:tc>
        <w:tc>
          <w:tcPr>
            <w:tcW w:w="6095" w:type="dxa"/>
            <w:gridSpan w:val="3"/>
          </w:tcPr>
          <w:p>
            <w:pPr>
              <w:ind w:right="206" w:rightChars="98"/>
              <w:jc w:val="center"/>
              <w:rPr>
                <w:rStyle w:val="303"/>
                <w:color w:val="000000" w:themeColor="text1"/>
                <w:spacing w:val="10"/>
                <w:sz w:val="21"/>
                <w:szCs w:val="21"/>
                <w:highlight w:val="none"/>
                <w:lang w:val="zh-CN"/>
              </w:rPr>
            </w:pPr>
            <w:r>
              <w:rPr>
                <w:rStyle w:val="303"/>
                <w:color w:val="000000" w:themeColor="text1"/>
                <w:spacing w:val="10"/>
                <w:sz w:val="21"/>
                <w:szCs w:val="21"/>
                <w:highlight w:val="none"/>
                <w:u w:val="single"/>
                <w:lang w:val="zh-CN"/>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rPr>
            </w:pPr>
          </w:p>
        </w:tc>
        <w:tc>
          <w:tcPr>
            <w:tcW w:w="2836" w:type="dxa"/>
            <w:vAlign w:val="center"/>
          </w:tcPr>
          <w:p>
            <w:pPr>
              <w:ind w:right="206" w:rightChars="98"/>
              <w:jc w:val="center"/>
              <w:rPr>
                <w:rStyle w:val="303"/>
                <w:b/>
                <w:color w:val="000000" w:themeColor="text1"/>
                <w:spacing w:val="10"/>
                <w:sz w:val="21"/>
                <w:szCs w:val="21"/>
                <w:highlight w:val="none"/>
                <w:lang w:val="zh-CN"/>
              </w:rPr>
            </w:pPr>
            <w:r>
              <w:rPr>
                <w:rStyle w:val="303"/>
                <w:b/>
                <w:color w:val="000000" w:themeColor="text1"/>
                <w:spacing w:val="10"/>
                <w:sz w:val="21"/>
                <w:szCs w:val="21"/>
                <w:highlight w:val="none"/>
                <w:lang w:val="zh-CN"/>
              </w:rPr>
              <w:t>开户银行</w:t>
            </w:r>
            <w:r>
              <w:rPr>
                <w:rStyle w:val="303"/>
                <w:color w:val="000000" w:themeColor="text1"/>
                <w:spacing w:val="10"/>
                <w:sz w:val="21"/>
                <w:szCs w:val="21"/>
                <w:highlight w:val="none"/>
                <w:lang w:val="zh-CN"/>
              </w:rPr>
              <w:t>（含汇入地点）</w:t>
            </w:r>
          </w:p>
        </w:tc>
        <w:tc>
          <w:tcPr>
            <w:tcW w:w="6095" w:type="dxa"/>
            <w:gridSpan w:val="3"/>
            <w:vAlign w:val="center"/>
          </w:tcPr>
          <w:p>
            <w:pPr>
              <w:ind w:right="206" w:rightChars="98" w:firstLine="460" w:firstLineChars="200"/>
              <w:rPr>
                <w:rStyle w:val="303"/>
                <w:color w:val="000000" w:themeColor="text1"/>
                <w:spacing w:val="10"/>
                <w:sz w:val="21"/>
                <w:szCs w:val="21"/>
                <w:highlight w:val="none"/>
                <w:lang w:val="zh-CN"/>
              </w:rPr>
            </w:pPr>
            <w:r>
              <w:rPr>
                <w:rStyle w:val="303"/>
                <w:color w:val="000000" w:themeColor="text1"/>
                <w:spacing w:val="10"/>
                <w:sz w:val="21"/>
                <w:szCs w:val="21"/>
                <w:highlight w:val="none"/>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rPr>
            </w:pPr>
          </w:p>
        </w:tc>
        <w:tc>
          <w:tcPr>
            <w:tcW w:w="2836" w:type="dxa"/>
            <w:vAlign w:val="center"/>
          </w:tcPr>
          <w:p>
            <w:pPr>
              <w:ind w:right="206" w:rightChars="98"/>
              <w:jc w:val="center"/>
              <w:rPr>
                <w:rStyle w:val="303"/>
                <w:b/>
                <w:color w:val="000000" w:themeColor="text1"/>
                <w:spacing w:val="10"/>
                <w:sz w:val="21"/>
                <w:szCs w:val="21"/>
                <w:highlight w:val="none"/>
                <w:lang w:val="zh-CN"/>
              </w:rPr>
            </w:pPr>
            <w:r>
              <w:rPr>
                <w:rStyle w:val="303"/>
                <w:b/>
                <w:color w:val="000000" w:themeColor="text1"/>
                <w:spacing w:val="10"/>
                <w:sz w:val="21"/>
                <w:szCs w:val="21"/>
                <w:highlight w:val="none"/>
                <w:lang w:val="zh-CN"/>
              </w:rPr>
              <w:t>银行账号</w:t>
            </w:r>
          </w:p>
        </w:tc>
        <w:tc>
          <w:tcPr>
            <w:tcW w:w="6095" w:type="dxa"/>
            <w:gridSpan w:val="3"/>
          </w:tcPr>
          <w:p>
            <w:pPr>
              <w:ind w:right="206" w:rightChars="98"/>
              <w:jc w:val="center"/>
              <w:rPr>
                <w:rStyle w:val="303"/>
                <w:color w:val="000000" w:themeColor="text1"/>
                <w:spacing w:val="10"/>
                <w:sz w:val="21"/>
                <w:szCs w:val="21"/>
                <w:highlight w:val="none"/>
                <w:u w:val="single"/>
                <w:lang w:val="zh-CN"/>
              </w:rPr>
            </w:pPr>
            <w:r>
              <w:rPr>
                <w:rStyle w:val="303"/>
                <w:color w:val="000000" w:themeColor="text1"/>
                <w:spacing w:val="10"/>
                <w:sz w:val="21"/>
                <w:szCs w:val="21"/>
                <w:highlight w:val="none"/>
                <w:u w:val="single"/>
                <w:lang w:val="zh-CN"/>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rPr>
            </w:pPr>
          </w:p>
        </w:tc>
        <w:tc>
          <w:tcPr>
            <w:tcW w:w="2836" w:type="dxa"/>
            <w:vAlign w:val="center"/>
          </w:tcPr>
          <w:p>
            <w:pPr>
              <w:ind w:right="206" w:rightChars="98"/>
              <w:jc w:val="center"/>
              <w:rPr>
                <w:rStyle w:val="303"/>
                <w:b/>
                <w:color w:val="000000" w:themeColor="text1"/>
                <w:spacing w:val="10"/>
                <w:sz w:val="21"/>
                <w:szCs w:val="21"/>
                <w:highlight w:val="none"/>
                <w:lang w:val="zh-CN"/>
              </w:rPr>
            </w:pPr>
            <w:r>
              <w:rPr>
                <w:rStyle w:val="303"/>
                <w:b/>
                <w:color w:val="000000" w:themeColor="text1"/>
                <w:spacing w:val="10"/>
                <w:sz w:val="21"/>
                <w:szCs w:val="21"/>
                <w:highlight w:val="none"/>
                <w:lang w:val="zh-CN"/>
              </w:rPr>
              <w:t>总金额（投标保证金）</w:t>
            </w:r>
          </w:p>
        </w:tc>
        <w:tc>
          <w:tcPr>
            <w:tcW w:w="6095" w:type="dxa"/>
            <w:gridSpan w:val="3"/>
            <w:vAlign w:val="center"/>
          </w:tcPr>
          <w:p>
            <w:pPr>
              <w:ind w:right="206" w:rightChars="98"/>
              <w:jc w:val="center"/>
              <w:rPr>
                <w:rStyle w:val="303"/>
                <w:color w:val="000000" w:themeColor="text1"/>
                <w:spacing w:val="10"/>
                <w:sz w:val="21"/>
                <w:szCs w:val="21"/>
                <w:highlight w:val="none"/>
                <w:lang w:val="zh-CN"/>
              </w:rPr>
            </w:pPr>
            <w:r>
              <w:rPr>
                <w:color w:val="000000" w:themeColor="text1"/>
                <w:szCs w:val="21"/>
                <w:highlight w:val="none"/>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rPr>
            </w:pPr>
          </w:p>
        </w:tc>
        <w:tc>
          <w:tcPr>
            <w:tcW w:w="2836" w:type="dxa"/>
            <w:vMerge w:val="restart"/>
            <w:vAlign w:val="center"/>
          </w:tcPr>
          <w:p>
            <w:pPr>
              <w:ind w:right="206" w:rightChars="98"/>
              <w:jc w:val="center"/>
              <w:rPr>
                <w:rStyle w:val="303"/>
                <w:b/>
                <w:color w:val="000000" w:themeColor="text1"/>
                <w:spacing w:val="10"/>
                <w:sz w:val="21"/>
                <w:szCs w:val="21"/>
                <w:highlight w:val="none"/>
                <w:lang w:val="zh-CN"/>
              </w:rPr>
            </w:pPr>
            <w:r>
              <w:rPr>
                <w:rStyle w:val="303"/>
                <w:b/>
                <w:color w:val="000000" w:themeColor="text1"/>
                <w:spacing w:val="10"/>
                <w:sz w:val="21"/>
                <w:szCs w:val="21"/>
                <w:highlight w:val="none"/>
                <w:lang w:val="zh-CN"/>
              </w:rPr>
              <w:t>财务联系人</w:t>
            </w:r>
          </w:p>
        </w:tc>
        <w:tc>
          <w:tcPr>
            <w:tcW w:w="1498" w:type="dxa"/>
            <w:vMerge w:val="restart"/>
            <w:vAlign w:val="center"/>
          </w:tcPr>
          <w:p>
            <w:pPr>
              <w:ind w:right="206" w:rightChars="98"/>
              <w:rPr>
                <w:rStyle w:val="303"/>
                <w:color w:val="000000" w:themeColor="text1"/>
                <w:spacing w:val="10"/>
                <w:sz w:val="21"/>
                <w:szCs w:val="21"/>
                <w:highlight w:val="none"/>
                <w:lang w:val="zh-CN"/>
              </w:rPr>
            </w:pPr>
          </w:p>
        </w:tc>
        <w:tc>
          <w:tcPr>
            <w:tcW w:w="1481" w:type="dxa"/>
            <w:vAlign w:val="center"/>
          </w:tcPr>
          <w:p>
            <w:pPr>
              <w:ind w:right="206" w:rightChars="98"/>
              <w:jc w:val="center"/>
              <w:rPr>
                <w:rStyle w:val="303"/>
                <w:color w:val="000000" w:themeColor="text1"/>
                <w:spacing w:val="10"/>
                <w:sz w:val="21"/>
                <w:szCs w:val="21"/>
                <w:highlight w:val="none"/>
                <w:lang w:val="zh-CN"/>
              </w:rPr>
            </w:pPr>
            <w:r>
              <w:rPr>
                <w:rStyle w:val="303"/>
                <w:color w:val="000000" w:themeColor="text1"/>
                <w:spacing w:val="10"/>
                <w:sz w:val="21"/>
                <w:szCs w:val="21"/>
                <w:highlight w:val="none"/>
                <w:lang w:val="zh-CN"/>
              </w:rPr>
              <w:t>联系电话</w:t>
            </w:r>
          </w:p>
        </w:tc>
        <w:tc>
          <w:tcPr>
            <w:tcW w:w="3116" w:type="dxa"/>
            <w:vAlign w:val="center"/>
          </w:tcPr>
          <w:p>
            <w:pPr>
              <w:ind w:right="206" w:rightChars="98"/>
              <w:rPr>
                <w:rStyle w:val="303"/>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rPr>
            </w:pPr>
          </w:p>
        </w:tc>
        <w:tc>
          <w:tcPr>
            <w:tcW w:w="2836" w:type="dxa"/>
            <w:vMerge w:val="continue"/>
          </w:tcPr>
          <w:p>
            <w:pPr>
              <w:ind w:right="206" w:rightChars="98"/>
              <w:jc w:val="center"/>
              <w:rPr>
                <w:rStyle w:val="303"/>
                <w:b/>
                <w:color w:val="000000" w:themeColor="text1"/>
                <w:spacing w:val="10"/>
                <w:sz w:val="21"/>
                <w:szCs w:val="21"/>
                <w:highlight w:val="none"/>
                <w:lang w:val="zh-CN"/>
              </w:rPr>
            </w:pPr>
          </w:p>
        </w:tc>
        <w:tc>
          <w:tcPr>
            <w:tcW w:w="1498" w:type="dxa"/>
            <w:vMerge w:val="continue"/>
            <w:vAlign w:val="center"/>
          </w:tcPr>
          <w:p>
            <w:pPr>
              <w:ind w:right="206" w:rightChars="98"/>
              <w:rPr>
                <w:rStyle w:val="303"/>
                <w:color w:val="000000" w:themeColor="text1"/>
                <w:spacing w:val="10"/>
                <w:sz w:val="21"/>
                <w:szCs w:val="21"/>
                <w:highlight w:val="none"/>
                <w:lang w:val="zh-CN"/>
              </w:rPr>
            </w:pPr>
          </w:p>
        </w:tc>
        <w:tc>
          <w:tcPr>
            <w:tcW w:w="1481" w:type="dxa"/>
            <w:vAlign w:val="center"/>
          </w:tcPr>
          <w:p>
            <w:pPr>
              <w:ind w:right="206" w:rightChars="98"/>
              <w:jc w:val="center"/>
              <w:rPr>
                <w:rStyle w:val="303"/>
                <w:color w:val="000000" w:themeColor="text1"/>
                <w:spacing w:val="10"/>
                <w:sz w:val="21"/>
                <w:szCs w:val="21"/>
                <w:highlight w:val="none"/>
                <w:lang w:val="zh-CN"/>
              </w:rPr>
            </w:pPr>
            <w:r>
              <w:rPr>
                <w:rStyle w:val="303"/>
                <w:color w:val="000000" w:themeColor="text1"/>
                <w:spacing w:val="10"/>
                <w:sz w:val="21"/>
                <w:szCs w:val="21"/>
                <w:highlight w:val="none"/>
                <w:lang w:val="zh-CN"/>
              </w:rPr>
              <w:t>传真</w:t>
            </w:r>
          </w:p>
        </w:tc>
        <w:tc>
          <w:tcPr>
            <w:tcW w:w="3116" w:type="dxa"/>
            <w:vAlign w:val="center"/>
          </w:tcPr>
          <w:p>
            <w:pPr>
              <w:ind w:right="206" w:rightChars="98"/>
              <w:rPr>
                <w:rStyle w:val="303"/>
                <w:color w:val="000000" w:themeColor="text1"/>
                <w:spacing w:val="10"/>
                <w:sz w:val="21"/>
                <w:szCs w:val="21"/>
                <w:highlight w:val="none"/>
                <w:lang w:val="zh-CN"/>
              </w:rPr>
            </w:pPr>
          </w:p>
        </w:tc>
      </w:tr>
    </w:tbl>
    <w:p>
      <w:pPr>
        <w:rPr>
          <w:rFonts w:ascii="宋体" w:hAnsi="宋体"/>
          <w:color w:val="000000" w:themeColor="text1"/>
          <w:szCs w:val="21"/>
          <w:highlight w:val="none"/>
        </w:rPr>
      </w:pPr>
      <w:r>
        <w:rPr>
          <w:rFonts w:hint="eastAsia" w:ascii="宋体" w:hAnsi="宋体"/>
          <w:color w:val="000000" w:themeColor="text1"/>
          <w:szCs w:val="21"/>
          <w:highlight w:val="none"/>
        </w:rPr>
        <w:t>注：保证金退还账户必须为对公账户。</w:t>
      </w:r>
    </w:p>
    <w:tbl>
      <w:tblPr>
        <w:tblStyle w:val="47"/>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000000" w:themeColor="text1"/>
                <w:szCs w:val="21"/>
                <w:highlight w:val="none"/>
              </w:rPr>
            </w:pPr>
            <w:r>
              <w:rPr>
                <w:rFonts w:hint="eastAsia" w:ascii="宋体" w:hAnsi="宋体"/>
                <w:b/>
                <w:color w:val="000000" w:themeColor="text1"/>
                <w:szCs w:val="21"/>
                <w:highlight w:val="none"/>
              </w:rPr>
              <w:t>投标保证金凭证复印件</w:t>
            </w:r>
          </w:p>
          <w:p>
            <w:pPr>
              <w:jc w:val="center"/>
              <w:rPr>
                <w:rFonts w:ascii="宋体" w:hAnsi="宋体"/>
                <w:b/>
                <w:color w:val="000000" w:themeColor="text1"/>
                <w:szCs w:val="21"/>
                <w:highlight w:val="none"/>
              </w:rPr>
            </w:pPr>
            <w:r>
              <w:rPr>
                <w:rFonts w:hint="eastAsia" w:ascii="宋体" w:hAnsi="宋体"/>
                <w:b/>
                <w:color w:val="000000" w:themeColor="text1"/>
                <w:szCs w:val="21"/>
                <w:highlight w:val="none"/>
              </w:rPr>
              <w:t>（请投标投标人在此处贴上）</w:t>
            </w:r>
          </w:p>
        </w:tc>
      </w:tr>
    </w:tbl>
    <w:p>
      <w:pPr>
        <w:rPr>
          <w:rFonts w:ascii="宋体" w:hAnsi="宋体"/>
          <w:color w:val="000000" w:themeColor="text1"/>
          <w:szCs w:val="2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rPr>
          <w:rFonts w:ascii="宋体" w:hAnsi="宋体"/>
          <w:bCs/>
          <w:color w:val="000000" w:themeColor="text1"/>
          <w:szCs w:val="2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rFonts w:ascii="宋体" w:hAnsi="宋体"/>
          <w:b/>
          <w:color w:val="000000" w:themeColor="text1"/>
          <w:szCs w:val="21"/>
          <w:highlight w:val="none"/>
        </w:rPr>
      </w:pPr>
      <w:r>
        <w:rPr>
          <w:rFonts w:hint="eastAsia" w:ascii="宋体" w:hAnsi="宋体"/>
          <w:b/>
          <w:color w:val="000000" w:themeColor="text1"/>
          <w:szCs w:val="21"/>
          <w:highlight w:val="none"/>
        </w:rPr>
        <w:t>注：本退付书须放入唱标信封内，勿装订在投标文件内。</w:t>
      </w:r>
    </w:p>
    <w:p>
      <w:pPr>
        <w:jc w:val="center"/>
        <w:rPr>
          <w:rFonts w:hint="eastAsia"/>
          <w:color w:val="000000" w:themeColor="text1"/>
          <w:sz w:val="44"/>
          <w:szCs w:val="44"/>
          <w:highlight w:val="none"/>
        </w:rPr>
      </w:pPr>
      <w:bookmarkStart w:id="2172" w:name="_Hlk534184791"/>
    </w:p>
    <w:p>
      <w:pPr>
        <w:jc w:val="center"/>
        <w:rPr>
          <w:rFonts w:hint="eastAsia"/>
          <w:b/>
          <w:bCs/>
          <w:color w:val="000000" w:themeColor="text1"/>
          <w:szCs w:val="21"/>
          <w:highlight w:val="none"/>
        </w:rPr>
      </w:pPr>
      <w:r>
        <w:rPr>
          <w:rFonts w:hint="eastAsia"/>
          <w:b/>
          <w:bCs/>
          <w:color w:val="000000" w:themeColor="text1"/>
          <w:sz w:val="44"/>
          <w:szCs w:val="44"/>
          <w:highlight w:val="none"/>
        </w:rPr>
        <w:t>购买标书登记表</w:t>
      </w:r>
    </w:p>
    <w:p>
      <w:pPr>
        <w:jc w:val="center"/>
        <w:rPr>
          <w:rFonts w:hint="eastAsia"/>
          <w:color w:val="000000" w:themeColor="text1"/>
          <w:szCs w:val="21"/>
          <w:highlight w:val="none"/>
        </w:rPr>
      </w:pPr>
    </w:p>
    <w:tbl>
      <w:tblPr>
        <w:tblStyle w:val="47"/>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项目名称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招标编号</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购买时间</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投标商名称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地址</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电话</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传真</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联系人</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手机</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职务</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电子邮件</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拟投设备</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制造厂商</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经营范围</w:t>
            </w:r>
          </w:p>
        </w:tc>
        <w:tc>
          <w:tcPr>
            <w:tcW w:w="6775" w:type="dxa"/>
            <w:gridSpan w:val="3"/>
            <w:noWrap w:val="0"/>
            <w:vAlign w:val="top"/>
          </w:tcPr>
          <w:p>
            <w:pPr>
              <w:rPr>
                <w:rFonts w:hint="eastAsia"/>
                <w:color w:val="000000" w:themeColor="text1"/>
                <w:sz w:val="28"/>
                <w:szCs w:val="28"/>
                <w:highlight w:val="none"/>
              </w:rPr>
            </w:pPr>
          </w:p>
        </w:tc>
      </w:tr>
    </w:tbl>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询问函、质疑函格式</w:t>
      </w:r>
    </w:p>
    <w:p>
      <w:pPr>
        <w:pStyle w:val="42"/>
        <w:snapToGrid w:val="0"/>
        <w:spacing w:before="0" w:beforeAutospacing="0" w:after="0" w:afterAutospacing="0" w:line="360" w:lineRule="auto"/>
        <w:jc w:val="both"/>
        <w:rPr>
          <w:color w:val="000000" w:themeColor="text1"/>
          <w:szCs w:val="21"/>
          <w:highlight w:val="none"/>
        </w:rPr>
      </w:pPr>
    </w:p>
    <w:p>
      <w:pPr>
        <w:snapToGrid w:val="0"/>
        <w:spacing w:line="360" w:lineRule="auto"/>
        <w:ind w:firstLine="424" w:firstLineChars="201"/>
        <w:rPr>
          <w:rFonts w:ascii="宋体" w:hAnsi="宋体"/>
          <w:b/>
          <w:color w:val="000000" w:themeColor="text1"/>
          <w:szCs w:val="21"/>
          <w:highlight w:val="none"/>
        </w:rPr>
      </w:pPr>
      <w:r>
        <w:rPr>
          <w:rFonts w:hint="eastAsia" w:ascii="宋体" w:hAnsi="宋体"/>
          <w:b/>
          <w:color w:val="000000" w:themeColor="text1"/>
          <w:szCs w:val="21"/>
          <w:highlight w:val="none"/>
        </w:rPr>
        <w:t>说明：本部分格式为投标供应商提交询问函、质疑函、投诉函时使用，不属于投标文件格式的组成部分。</w:t>
      </w:r>
    </w:p>
    <w:p>
      <w:pPr>
        <w:pStyle w:val="42"/>
        <w:snapToGrid w:val="0"/>
        <w:spacing w:before="0" w:beforeAutospacing="0" w:after="0" w:afterAutospacing="0" w:line="360" w:lineRule="auto"/>
        <w:jc w:val="both"/>
        <w:rPr>
          <w:color w:val="000000" w:themeColor="text1"/>
          <w:szCs w:val="21"/>
          <w:highlight w:val="none"/>
        </w:rPr>
      </w:pPr>
    </w:p>
    <w:p>
      <w:pPr>
        <w:pStyle w:val="42"/>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t>1：询问函格式</w:t>
      </w:r>
    </w:p>
    <w:p>
      <w:pPr>
        <w:pStyle w:val="42"/>
        <w:spacing w:before="0" w:beforeAutospacing="0" w:after="0" w:afterAutospacing="0" w:line="360" w:lineRule="auto"/>
        <w:jc w:val="center"/>
        <w:rPr>
          <w:rStyle w:val="49"/>
          <w:rFonts w:cs="Times New Roman"/>
          <w:color w:val="000000" w:themeColor="text1"/>
          <w:highlight w:val="none"/>
        </w:rPr>
      </w:pPr>
      <w:r>
        <w:rPr>
          <w:rStyle w:val="49"/>
          <w:rFonts w:hint="eastAsia" w:cs="Times New Roman"/>
          <w:b w:val="0"/>
          <w:color w:val="000000" w:themeColor="text1"/>
          <w:highlight w:val="none"/>
        </w:rPr>
        <w:t>询问函</w:t>
      </w:r>
    </w:p>
    <w:p>
      <w:pPr>
        <w:widowControl/>
        <w:tabs>
          <w:tab w:val="left" w:pos="6300"/>
        </w:tabs>
        <w:snapToGrid w:val="0"/>
        <w:spacing w:line="360" w:lineRule="auto"/>
        <w:jc w:val="left"/>
        <w:rPr>
          <w:rFonts w:ascii="宋体" w:hAnsi="宋体"/>
          <w:color w:val="000000" w:themeColor="text1"/>
          <w:highlight w:val="none"/>
        </w:rPr>
      </w:pPr>
      <w:r>
        <w:rPr>
          <w:rFonts w:hint="eastAsia" w:ascii="宋体" w:hAnsi="宋体"/>
          <w:color w:val="000000" w:themeColor="text1"/>
          <w:sz w:val="24"/>
          <w:highlight w:val="none"/>
        </w:rPr>
        <w:t>广东业信采购招标有限公司：</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我单位已报名并准备参与</w:t>
      </w:r>
      <w:r>
        <w:rPr>
          <w:rFonts w:hint="eastAsia" w:ascii="宋体" w:hAnsi="宋体"/>
          <w:color w:val="000000" w:themeColor="text1"/>
          <w:sz w:val="24"/>
          <w:highlight w:val="none"/>
          <w:u w:val="single"/>
        </w:rPr>
        <w:t>（项目名称）</w:t>
      </w:r>
      <w:r>
        <w:rPr>
          <w:rFonts w:hint="eastAsia" w:ascii="宋体" w:hAnsi="宋体"/>
          <w:color w:val="000000" w:themeColor="text1"/>
          <w:sz w:val="24"/>
          <w:highlight w:val="none"/>
        </w:rPr>
        <w:t>项目（采购文件编号：</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电话/传真：</w:t>
      </w:r>
    </w:p>
    <w:p>
      <w:pPr>
        <w:spacing w:line="360" w:lineRule="auto"/>
        <w:jc w:val="right"/>
        <w:rPr>
          <w:rFonts w:ascii="宋体" w:hAnsi="宋体"/>
          <w:color w:val="000000" w:themeColor="text1"/>
          <w:sz w:val="24"/>
          <w:highlight w:val="none"/>
        </w:rPr>
      </w:pPr>
      <w:r>
        <w:rPr>
          <w:rFonts w:hint="eastAsia" w:ascii="宋体" w:hAnsi="宋体"/>
          <w:color w:val="000000" w:themeColor="text1"/>
          <w:sz w:val="24"/>
          <w:highlight w:val="none"/>
        </w:rPr>
        <w:t xml:space="preserve"> </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年</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月</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日</w:t>
      </w:r>
    </w:p>
    <w:p>
      <w:pPr>
        <w:snapToGrid w:val="0"/>
        <w:spacing w:line="360" w:lineRule="auto"/>
        <w:ind w:firstLine="432" w:firstLineChars="180"/>
        <w:rPr>
          <w:rFonts w:ascii="宋体" w:hAnsi="宋体"/>
          <w:color w:val="000000" w:themeColor="text1"/>
          <w:sz w:val="24"/>
          <w:highlight w:val="none"/>
        </w:rPr>
      </w:pPr>
    </w:p>
    <w:p>
      <w:pPr>
        <w:pStyle w:val="42"/>
        <w:adjustRightInd w:val="0"/>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br w:type="page"/>
      </w:r>
      <w:r>
        <w:rPr>
          <w:rFonts w:hint="eastAsia"/>
          <w:color w:val="000000" w:themeColor="text1"/>
          <w:highlight w:val="none"/>
        </w:rPr>
        <w:t>2：质疑函格式</w:t>
      </w:r>
    </w:p>
    <w:p>
      <w:pPr>
        <w:pStyle w:val="42"/>
        <w:spacing w:before="0" w:beforeAutospacing="0" w:after="0" w:afterAutospacing="0" w:line="360" w:lineRule="auto"/>
        <w:jc w:val="center"/>
        <w:rPr>
          <w:rStyle w:val="49"/>
          <w:rFonts w:cs="Times New Roman"/>
          <w:color w:val="000000" w:themeColor="text1"/>
          <w:highlight w:val="none"/>
        </w:rPr>
      </w:pPr>
      <w:r>
        <w:rPr>
          <w:rStyle w:val="49"/>
          <w:rFonts w:hint="eastAsia" w:cs="Times New Roman"/>
          <w:b w:val="0"/>
          <w:color w:val="000000" w:themeColor="text1"/>
          <w:highlight w:val="none"/>
        </w:rPr>
        <w:t>质疑函</w:t>
      </w:r>
    </w:p>
    <w:p>
      <w:pPr>
        <w:adjustRightInd w:val="0"/>
        <w:snapToGrid w:val="0"/>
        <w:spacing w:beforeLines="100"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一、质疑供应商基本信息</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质疑供应商：</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联系人：</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授权代表：</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r>
        <w:rPr>
          <w:rFonts w:ascii="宋体" w:hAnsi="宋体" w:cs="仿宋"/>
          <w:color w:val="000000" w:themeColor="text1"/>
          <w:sz w:val="24"/>
          <w:highlight w:val="none"/>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ascii="宋体" w:hAnsi="宋体" w:cs="仿宋"/>
          <w:color w:val="000000" w:themeColor="text1"/>
          <w:sz w:val="24"/>
          <w:highlight w:val="none"/>
        </w:rPr>
        <w:t xml:space="preserve"> </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二、质疑项目基本情况</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质疑项目的编号：</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包号：</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采购人名称：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采购文件获取日期：</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三、质疑事项具体内容</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质疑事项1：</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事实依据：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法律依据：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质疑事项2</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四、与质疑事项相关的质疑请求</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请求：</w:t>
      </w:r>
      <w:r>
        <w:rPr>
          <w:rFonts w:hint="eastAsia" w:ascii="宋体" w:hAnsi="宋体" w:cs="仿宋"/>
          <w:color w:val="000000" w:themeColor="text1"/>
          <w:sz w:val="24"/>
          <w:highlight w:val="none"/>
          <w:u w:val="dotted"/>
        </w:rPr>
        <w:t xml:space="preserve">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签字(签章)：                   公章：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日期：    </w:t>
      </w:r>
    </w:p>
    <w:p>
      <w:pPr>
        <w:adjustRightInd w:val="0"/>
        <w:snapToGrid w:val="0"/>
        <w:spacing w:line="360" w:lineRule="auto"/>
        <w:rPr>
          <w:rFonts w:ascii="宋体" w:hAnsi="宋体" w:cs="仿宋"/>
          <w:color w:val="000000" w:themeColor="text1"/>
          <w:sz w:val="24"/>
          <w:highlight w:val="none"/>
        </w:rPr>
      </w:pPr>
    </w:p>
    <w:p>
      <w:pPr>
        <w:adjustRightInd w:val="0"/>
        <w:snapToGrid w:val="0"/>
        <w:spacing w:line="360" w:lineRule="auto"/>
        <w:rPr>
          <w:rFonts w:ascii="宋体" w:hAnsi="宋体" w:cs="仿宋"/>
          <w:color w:val="000000" w:themeColor="text1"/>
          <w:sz w:val="24"/>
          <w:highlight w:val="none"/>
        </w:rPr>
      </w:pP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质疑函制作说明：</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5.质疑函的质疑请求应与质疑事项相关。</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6.质疑供应商为自然人的，质疑函应由本人签字；质疑供应商为法人或者其他组织的，</w:t>
      </w:r>
      <w:r>
        <w:rPr>
          <w:rFonts w:ascii="宋体" w:hAnsi="宋体" w:cs="宋体"/>
          <w:color w:val="000000" w:themeColor="text1"/>
          <w:kern w:val="0"/>
          <w:szCs w:val="21"/>
          <w:highlight w:val="none"/>
        </w:rPr>
        <w:t>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w:t>
      </w:r>
      <w:r>
        <w:rPr>
          <w:rFonts w:ascii="宋体" w:hAnsi="宋体" w:cs="宋体"/>
          <w:color w:val="000000" w:themeColor="text1"/>
          <w:kern w:val="0"/>
          <w:szCs w:val="21"/>
          <w:highlight w:val="none"/>
        </w:rPr>
        <w:t>法定代表人（负责人）或主要负责人签字并加盖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widowControl/>
        <w:snapToGrid w:val="0"/>
        <w:spacing w:line="360" w:lineRule="auto"/>
        <w:ind w:right="960"/>
        <w:rPr>
          <w:rFonts w:ascii="宋体" w:hAnsi="宋体"/>
          <w:color w:val="000000" w:themeColor="text1"/>
          <w:sz w:val="24"/>
          <w:highlight w:val="none"/>
        </w:rPr>
      </w:pPr>
    </w:p>
    <w:bookmarkEnd w:id="2172"/>
    <w:p>
      <w:pPr>
        <w:spacing w:line="360" w:lineRule="auto"/>
        <w:jc w:val="left"/>
        <w:rPr>
          <w:rFonts w:ascii="仿宋_GB2312" w:hAnsi="仿宋" w:eastAsia="仿宋_GB2312"/>
          <w:color w:val="000000" w:themeColor="text1"/>
          <w:sz w:val="24"/>
          <w:highlight w:val="none"/>
        </w:rPr>
      </w:pPr>
    </w:p>
    <w:sectPr>
      <w:pgSz w:w="11906" w:h="16838"/>
      <w:pgMar w:top="1474" w:right="1418" w:bottom="1474" w:left="1418"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Arial Unicode MS">
    <w:altName w:val="宋体"/>
    <w:panose1 w:val="020B0604020202020204"/>
    <w:charset w:val="86"/>
    <w:family w:val="roman"/>
    <w:pitch w:val="default"/>
    <w:sig w:usb0="00000000" w:usb1="00000000" w:usb2="0000003F" w:usb3="00000000" w:csb0="601F00FF" w:csb1="FFFF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50"/>
      </w:rPr>
    </w:pPr>
    <w:r>
      <w:fldChar w:fldCharType="begin"/>
    </w:r>
    <w:r>
      <w:rPr>
        <w:rStyle w:val="50"/>
      </w:rPr>
      <w:instrText xml:space="preserve">PAGE  </w:instrText>
    </w:r>
    <w:r>
      <w:fldChar w:fldCharType="end"/>
    </w:r>
  </w:p>
  <w:p>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31DD7B"/>
    <w:multiLevelType w:val="singleLevel"/>
    <w:tmpl w:val="AB31DD7B"/>
    <w:lvl w:ilvl="0" w:tentative="0">
      <w:start w:val="3"/>
      <w:numFmt w:val="decimal"/>
      <w:suff w:val="nothing"/>
      <w:lvlText w:val="%1、"/>
      <w:lvlJc w:val="left"/>
    </w:lvl>
  </w:abstractNum>
  <w:abstractNum w:abstractNumId="1">
    <w:nsid w:val="00000003"/>
    <w:multiLevelType w:val="multilevel"/>
    <w:tmpl w:val="00000003"/>
    <w:lvl w:ilvl="0" w:tentative="0">
      <w:start w:val="1"/>
      <w:numFmt w:val="decimal"/>
      <w:pStyle w:val="298"/>
      <w:lvlText w:val="%1. "/>
      <w:lvlJc w:val="left"/>
      <w:pPr>
        <w:tabs>
          <w:tab w:val="left" w:pos="981"/>
        </w:tabs>
        <w:ind w:left="981" w:hanging="419"/>
      </w:pPr>
    </w:lvl>
    <w:lvl w:ilvl="1" w:tentative="0">
      <w:start w:val="1"/>
      <w:numFmt w:val="upperLetter"/>
      <w:pStyle w:val="287"/>
      <w:lvlText w:val="%2. "/>
      <w:lvlJc w:val="left"/>
      <w:pPr>
        <w:tabs>
          <w:tab w:val="left" w:pos="1191"/>
        </w:tabs>
        <w:ind w:left="1191" w:hanging="420"/>
      </w:pPr>
    </w:lvl>
    <w:lvl w:ilvl="2" w:tentative="0">
      <w:start w:val="1"/>
      <w:numFmt w:val="lowerLetter"/>
      <w:pStyle w:val="296"/>
      <w:lvlText w:val="%3. "/>
      <w:lvlJc w:val="left"/>
      <w:pPr>
        <w:tabs>
          <w:tab w:val="left" w:pos="1401"/>
        </w:tabs>
        <w:ind w:left="1401" w:hanging="420"/>
      </w:pPr>
    </w:lvl>
    <w:lvl w:ilvl="3" w:tentative="0">
      <w:start w:val="1"/>
      <w:numFmt w:val="lowerLetter"/>
      <w:pStyle w:val="154"/>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2">
    <w:nsid w:val="00000008"/>
    <w:multiLevelType w:val="multilevel"/>
    <w:tmpl w:val="00000008"/>
    <w:lvl w:ilvl="0" w:tentative="0">
      <w:start w:val="1"/>
      <w:numFmt w:val="decimal"/>
      <w:pStyle w:val="269"/>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4">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b/>
        <w:sz w:val="21"/>
        <w:szCs w:val="21"/>
      </w:rPr>
    </w:lvl>
    <w:lvl w:ilvl="2" w:tentative="0">
      <w:start w:val="1"/>
      <w:numFmt w:val="decimal"/>
      <w:lvlText w:val="（%3）"/>
      <w:lvlJc w:val="left"/>
      <w:pPr>
        <w:tabs>
          <w:tab w:val="left" w:pos="1245"/>
        </w:tabs>
        <w:ind w:left="1245" w:hanging="720"/>
      </w:pPr>
      <w:rPr>
        <w:rFonts w:hint="eastAsia"/>
      </w:rPr>
    </w:lvl>
    <w:lvl w:ilvl="3" w:tentative="0">
      <w:start w:val="1"/>
      <w:numFmt w:val="decimal"/>
      <w:pStyle w:val="288"/>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5">
    <w:nsid w:val="0000000F"/>
    <w:multiLevelType w:val="multilevel"/>
    <w:tmpl w:val="0000000F"/>
    <w:lvl w:ilvl="0" w:tentative="0">
      <w:start w:val="1"/>
      <w:numFmt w:val="bullet"/>
      <w:pStyle w:val="163"/>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6">
    <w:nsid w:val="00000012"/>
    <w:multiLevelType w:val="singleLevel"/>
    <w:tmpl w:val="00000012"/>
    <w:lvl w:ilvl="0" w:tentative="0">
      <w:start w:val="1"/>
      <w:numFmt w:val="decimal"/>
      <w:pStyle w:val="276"/>
      <w:lvlText w:val="%1."/>
      <w:lvlJc w:val="left"/>
      <w:pPr>
        <w:tabs>
          <w:tab w:val="left" w:pos="1200"/>
        </w:tabs>
        <w:ind w:left="1200" w:hanging="360"/>
      </w:pPr>
    </w:lvl>
  </w:abstractNum>
  <w:abstractNum w:abstractNumId="7">
    <w:nsid w:val="00000014"/>
    <w:multiLevelType w:val="singleLevel"/>
    <w:tmpl w:val="00000014"/>
    <w:lvl w:ilvl="0" w:tentative="0">
      <w:start w:val="1"/>
      <w:numFmt w:val="decimal"/>
      <w:pStyle w:val="212"/>
      <w:lvlText w:val="%1."/>
      <w:lvlJc w:val="left"/>
      <w:pPr>
        <w:tabs>
          <w:tab w:val="left" w:pos="1620"/>
        </w:tabs>
        <w:ind w:left="1620" w:hanging="360"/>
      </w:pPr>
    </w:lvl>
  </w:abstractNum>
  <w:abstractNum w:abstractNumId="8">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7"/>
    <w:multiLevelType w:val="singleLevel"/>
    <w:tmpl w:val="00000017"/>
    <w:lvl w:ilvl="0" w:tentative="0">
      <w:start w:val="1"/>
      <w:numFmt w:val="bullet"/>
      <w:pStyle w:val="262"/>
      <w:lvlText w:val=""/>
      <w:lvlJc w:val="left"/>
      <w:pPr>
        <w:tabs>
          <w:tab w:val="left" w:pos="360"/>
        </w:tabs>
        <w:ind w:left="360" w:hanging="360"/>
      </w:pPr>
      <w:rPr>
        <w:rFonts w:hint="default" w:ascii="Wingdings" w:hAnsi="Wingdings"/>
      </w:rPr>
    </w:lvl>
  </w:abstractNum>
  <w:abstractNum w:abstractNumId="10">
    <w:nsid w:val="00000018"/>
    <w:multiLevelType w:val="multilevel"/>
    <w:tmpl w:val="00000018"/>
    <w:lvl w:ilvl="0" w:tentative="0">
      <w:start w:val="2"/>
      <w:numFmt w:val="decimal"/>
      <w:pStyle w:val="257"/>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1">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8"/>
      <w:suff w:val="space"/>
      <w:lvlText w:val="%1.%2.%3"/>
      <w:lvlJc w:val="left"/>
      <w:pPr>
        <w:tabs>
          <w:tab w:val="left" w:pos="1418"/>
        </w:tabs>
        <w:ind w:left="0" w:firstLine="0"/>
      </w:pPr>
    </w:lvl>
    <w:lvl w:ilvl="3" w:tentative="0">
      <w:start w:val="1"/>
      <w:numFmt w:val="decimal"/>
      <w:pStyle w:val="295"/>
      <w:suff w:val="space"/>
      <w:lvlText w:val="%1.%2.%3.%4"/>
      <w:lvlJc w:val="left"/>
      <w:pPr>
        <w:tabs>
          <w:tab w:val="left" w:pos="1984"/>
        </w:tabs>
        <w:ind w:left="0" w:firstLine="0"/>
      </w:pPr>
    </w:lvl>
    <w:lvl w:ilvl="4" w:tentative="0">
      <w:start w:val="1"/>
      <w:numFmt w:val="decimal"/>
      <w:pStyle w:val="291"/>
      <w:suff w:val="space"/>
      <w:lvlText w:val="%1.%2.%3.%4.%5"/>
      <w:lvlJc w:val="left"/>
      <w:pPr>
        <w:tabs>
          <w:tab w:val="left" w:pos="2551"/>
        </w:tabs>
        <w:ind w:left="0" w:firstLine="0"/>
      </w:pPr>
    </w:lvl>
    <w:lvl w:ilvl="5" w:tentative="0">
      <w:start w:val="1"/>
      <w:numFmt w:val="decimal"/>
      <w:pStyle w:val="195"/>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2">
    <w:nsid w:val="0000001C"/>
    <w:multiLevelType w:val="singleLevel"/>
    <w:tmpl w:val="0000001C"/>
    <w:lvl w:ilvl="0" w:tentative="0">
      <w:start w:val="1"/>
      <w:numFmt w:val="decimal"/>
      <w:pStyle w:val="26"/>
      <w:lvlText w:val="%1."/>
      <w:lvlJc w:val="left"/>
      <w:pPr>
        <w:tabs>
          <w:tab w:val="left" w:pos="425"/>
        </w:tabs>
        <w:ind w:left="425" w:hanging="425"/>
      </w:pPr>
      <w:rPr>
        <w:rFonts w:hint="eastAsia"/>
      </w:rPr>
    </w:lvl>
  </w:abstractNum>
  <w:abstractNum w:abstractNumId="13">
    <w:nsid w:val="0000001D"/>
    <w:multiLevelType w:val="multilevel"/>
    <w:tmpl w:val="0000001D"/>
    <w:lvl w:ilvl="0" w:tentative="0">
      <w:start w:val="1"/>
      <w:numFmt w:val="decimal"/>
      <w:pStyle w:val="197"/>
      <w:lvlText w:val="%1)"/>
      <w:lvlJc w:val="left"/>
      <w:pPr>
        <w:tabs>
          <w:tab w:val="left" w:pos="420"/>
        </w:tabs>
        <w:ind w:left="420" w:hanging="420"/>
      </w:pPr>
    </w:lvl>
    <w:lvl w:ilvl="1" w:tentative="0">
      <w:start w:val="1"/>
      <w:numFmt w:val="lowerLetter"/>
      <w:pStyle w:val="122"/>
      <w:lvlText w:val="%2)"/>
      <w:lvlJc w:val="left"/>
      <w:pPr>
        <w:tabs>
          <w:tab w:val="left" w:pos="840"/>
        </w:tabs>
        <w:ind w:left="840" w:hanging="420"/>
      </w:pPr>
    </w:lvl>
    <w:lvl w:ilvl="2" w:tentative="0">
      <w:start w:val="1"/>
      <w:numFmt w:val="lowerRoman"/>
      <w:pStyle w:val="121"/>
      <w:lvlText w:val="%3."/>
      <w:lvlJc w:val="right"/>
      <w:pPr>
        <w:tabs>
          <w:tab w:val="left" w:pos="1260"/>
        </w:tabs>
        <w:ind w:left="1260" w:hanging="420"/>
      </w:pPr>
    </w:lvl>
    <w:lvl w:ilvl="3" w:tentative="0">
      <w:start w:val="1"/>
      <w:numFmt w:val="decimal"/>
      <w:pStyle w:val="186"/>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00000022"/>
    <w:multiLevelType w:val="singleLevel"/>
    <w:tmpl w:val="00000022"/>
    <w:lvl w:ilvl="0" w:tentative="0">
      <w:start w:val="1"/>
      <w:numFmt w:val="decimal"/>
      <w:pStyle w:val="267"/>
      <w:lvlText w:val="%1."/>
      <w:lvlJc w:val="left"/>
      <w:pPr>
        <w:tabs>
          <w:tab w:val="left" w:pos="1145"/>
        </w:tabs>
        <w:ind w:left="902" w:hanging="477"/>
      </w:pPr>
      <w:rPr>
        <w:rFonts w:hint="eastAsia"/>
      </w:rPr>
    </w:lvl>
  </w:abstractNum>
  <w:abstractNum w:abstractNumId="16">
    <w:nsid w:val="00000024"/>
    <w:multiLevelType w:val="singleLevel"/>
    <w:tmpl w:val="00000024"/>
    <w:lvl w:ilvl="0" w:tentative="0">
      <w:start w:val="1"/>
      <w:numFmt w:val="bullet"/>
      <w:pStyle w:val="20"/>
      <w:lvlText w:val=""/>
      <w:lvlJc w:val="left"/>
      <w:pPr>
        <w:tabs>
          <w:tab w:val="left" w:pos="780"/>
        </w:tabs>
        <w:ind w:left="780" w:hanging="360"/>
      </w:pPr>
      <w:rPr>
        <w:rFonts w:hint="default" w:ascii="Wingdings" w:hAnsi="Wingdings"/>
      </w:rPr>
    </w:lvl>
  </w:abstractNum>
  <w:abstractNum w:abstractNumId="17">
    <w:nsid w:val="00000025"/>
    <w:multiLevelType w:val="multilevel"/>
    <w:tmpl w:val="00000025"/>
    <w:lvl w:ilvl="0" w:tentative="0">
      <w:start w:val="1"/>
      <w:numFmt w:val="decimal"/>
      <w:pStyle w:val="21"/>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8">
    <w:nsid w:val="00000026"/>
    <w:multiLevelType w:val="singleLevel"/>
    <w:tmpl w:val="00000026"/>
    <w:lvl w:ilvl="0" w:tentative="0">
      <w:start w:val="1"/>
      <w:numFmt w:val="decimal"/>
      <w:pStyle w:val="240"/>
      <w:lvlText w:val="%1."/>
      <w:lvlJc w:val="left"/>
      <w:pPr>
        <w:tabs>
          <w:tab w:val="left" w:pos="360"/>
        </w:tabs>
        <w:ind w:left="360" w:hanging="360"/>
      </w:pPr>
    </w:lvl>
  </w:abstractNum>
  <w:abstractNum w:abstractNumId="19">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0">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1">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2">
    <w:nsid w:val="0000002B"/>
    <w:multiLevelType w:val="multilevel"/>
    <w:tmpl w:val="0000002B"/>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pStyle w:val="6"/>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3">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8"/>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00000030"/>
    <w:multiLevelType w:val="singleLevel"/>
    <w:tmpl w:val="00000030"/>
    <w:lvl w:ilvl="0" w:tentative="0">
      <w:start w:val="1"/>
      <w:numFmt w:val="decimal"/>
      <w:pStyle w:val="248"/>
      <w:lvlText w:val="%1."/>
      <w:lvlJc w:val="left"/>
      <w:pPr>
        <w:tabs>
          <w:tab w:val="left" w:pos="2040"/>
        </w:tabs>
        <w:ind w:left="2040" w:hanging="360"/>
      </w:pPr>
    </w:lvl>
  </w:abstractNum>
  <w:abstractNum w:abstractNumId="25">
    <w:nsid w:val="00000032"/>
    <w:multiLevelType w:val="singleLevel"/>
    <w:tmpl w:val="00000032"/>
    <w:lvl w:ilvl="0" w:tentative="0">
      <w:start w:val="1"/>
      <w:numFmt w:val="bullet"/>
      <w:pStyle w:val="231"/>
      <w:lvlText w:val=""/>
      <w:lvlJc w:val="left"/>
      <w:pPr>
        <w:tabs>
          <w:tab w:val="left" w:pos="2040"/>
        </w:tabs>
        <w:ind w:left="2040" w:hanging="360"/>
      </w:pPr>
      <w:rPr>
        <w:rFonts w:hint="default" w:ascii="Wingdings" w:hAnsi="Wingdings"/>
      </w:rPr>
    </w:lvl>
  </w:abstractNum>
  <w:abstractNum w:abstractNumId="26">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00000034"/>
    <w:multiLevelType w:val="multilevel"/>
    <w:tmpl w:val="00000034"/>
    <w:lvl w:ilvl="0" w:tentative="0">
      <w:start w:val="1"/>
      <w:numFmt w:val="decimal"/>
      <w:pStyle w:val="138"/>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28">
    <w:nsid w:val="02C739A2"/>
    <w:multiLevelType w:val="multilevel"/>
    <w:tmpl w:val="02C739A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07A459AC"/>
    <w:multiLevelType w:val="multilevel"/>
    <w:tmpl w:val="07A459A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132A78E6"/>
    <w:multiLevelType w:val="multilevel"/>
    <w:tmpl w:val="132A78E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17431BAB"/>
    <w:multiLevelType w:val="multilevel"/>
    <w:tmpl w:val="17431BA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242E3AE7"/>
    <w:multiLevelType w:val="multilevel"/>
    <w:tmpl w:val="242E3AE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27DB3094"/>
    <w:multiLevelType w:val="multilevel"/>
    <w:tmpl w:val="27DB309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286023D7"/>
    <w:multiLevelType w:val="multilevel"/>
    <w:tmpl w:val="286023D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28A342AA"/>
    <w:multiLevelType w:val="multilevel"/>
    <w:tmpl w:val="28A342A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3E4D41E4"/>
    <w:multiLevelType w:val="multilevel"/>
    <w:tmpl w:val="3E4D41E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53907CF6"/>
    <w:multiLevelType w:val="multilevel"/>
    <w:tmpl w:val="53907CF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5E76242C"/>
    <w:multiLevelType w:val="multilevel"/>
    <w:tmpl w:val="5E7624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6ECE34B0"/>
    <w:multiLevelType w:val="multilevel"/>
    <w:tmpl w:val="6ECE34B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707B5C86"/>
    <w:multiLevelType w:val="multilevel"/>
    <w:tmpl w:val="707B5C8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74F07C0F"/>
    <w:multiLevelType w:val="multilevel"/>
    <w:tmpl w:val="74F07C0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77C80100"/>
    <w:multiLevelType w:val="multilevel"/>
    <w:tmpl w:val="77C8010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78900AD4"/>
    <w:multiLevelType w:val="multilevel"/>
    <w:tmpl w:val="78900AD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799106C3"/>
    <w:multiLevelType w:val="multilevel"/>
    <w:tmpl w:val="799106C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2"/>
  </w:num>
  <w:num w:numId="2">
    <w:abstractNumId w:val="16"/>
  </w:num>
  <w:num w:numId="3">
    <w:abstractNumId w:val="17"/>
  </w:num>
  <w:num w:numId="4">
    <w:abstractNumId w:val="12"/>
  </w:num>
  <w:num w:numId="5">
    <w:abstractNumId w:val="13"/>
  </w:num>
  <w:num w:numId="6">
    <w:abstractNumId w:val="27"/>
  </w:num>
  <w:num w:numId="7">
    <w:abstractNumId w:val="1"/>
  </w:num>
  <w:num w:numId="8">
    <w:abstractNumId w:val="5"/>
  </w:num>
  <w:num w:numId="9">
    <w:abstractNumId w:val="23"/>
  </w:num>
  <w:num w:numId="10">
    <w:abstractNumId w:val="11"/>
  </w:num>
  <w:num w:numId="11">
    <w:abstractNumId w:val="7"/>
  </w:num>
  <w:num w:numId="12">
    <w:abstractNumId w:val="25"/>
  </w:num>
  <w:num w:numId="13">
    <w:abstractNumId w:val="18"/>
  </w:num>
  <w:num w:numId="14">
    <w:abstractNumId w:val="24"/>
  </w:num>
  <w:num w:numId="15">
    <w:abstractNumId w:val="10"/>
  </w:num>
  <w:num w:numId="16">
    <w:abstractNumId w:val="9"/>
  </w:num>
  <w:num w:numId="17">
    <w:abstractNumId w:val="15"/>
  </w:num>
  <w:num w:numId="18">
    <w:abstractNumId w:val="2"/>
  </w:num>
  <w:num w:numId="19">
    <w:abstractNumId w:val="6"/>
  </w:num>
  <w:num w:numId="20">
    <w:abstractNumId w:val="4"/>
  </w:num>
  <w:num w:numId="21">
    <w:abstractNumId w:val="34"/>
  </w:num>
  <w:num w:numId="22">
    <w:abstractNumId w:val="29"/>
  </w:num>
  <w:num w:numId="23">
    <w:abstractNumId w:val="41"/>
  </w:num>
  <w:num w:numId="24">
    <w:abstractNumId w:val="33"/>
  </w:num>
  <w:num w:numId="25">
    <w:abstractNumId w:val="40"/>
  </w:num>
  <w:num w:numId="26">
    <w:abstractNumId w:val="42"/>
  </w:num>
  <w:num w:numId="27">
    <w:abstractNumId w:val="31"/>
  </w:num>
  <w:num w:numId="28">
    <w:abstractNumId w:val="44"/>
  </w:num>
  <w:num w:numId="29">
    <w:abstractNumId w:val="30"/>
  </w:num>
  <w:num w:numId="30">
    <w:abstractNumId w:val="43"/>
  </w:num>
  <w:num w:numId="31">
    <w:abstractNumId w:val="35"/>
  </w:num>
  <w:num w:numId="32">
    <w:abstractNumId w:val="32"/>
  </w:num>
  <w:num w:numId="33">
    <w:abstractNumId w:val="37"/>
  </w:num>
  <w:num w:numId="34">
    <w:abstractNumId w:val="28"/>
  </w:num>
  <w:num w:numId="35">
    <w:abstractNumId w:val="45"/>
  </w:num>
  <w:num w:numId="36">
    <w:abstractNumId w:val="38"/>
  </w:num>
  <w:num w:numId="37">
    <w:abstractNumId w:val="36"/>
  </w:num>
  <w:num w:numId="38">
    <w:abstractNumId w:val="39"/>
  </w:num>
  <w:num w:numId="39">
    <w:abstractNumId w:val="46"/>
  </w:num>
  <w:num w:numId="40">
    <w:abstractNumId w:val="0"/>
  </w:num>
  <w:num w:numId="41">
    <w:abstractNumId w:val="14"/>
  </w:num>
  <w:num w:numId="42">
    <w:abstractNumId w:val="19"/>
  </w:num>
  <w:num w:numId="43">
    <w:abstractNumId w:val="20"/>
  </w:num>
  <w:num w:numId="44">
    <w:abstractNumId w:val="3"/>
  </w:num>
  <w:num w:numId="45">
    <w:abstractNumId w:val="8"/>
  </w:num>
  <w:num w:numId="46">
    <w:abstractNumId w:val="21"/>
    <w:lvlOverride w:ilvl="0">
      <w:startOverride w:val="1"/>
    </w:lvlOverride>
  </w:num>
  <w:num w:numId="4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0"/>
  <w:drawingGridHorizontalSpacing w:val="96"/>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mE2Zjc5NzZhNWNmMDhhN2NiYjQ5NjNiNzUyYWQ2ZTQifQ=="/>
  </w:docVars>
  <w:rsids>
    <w:rsidRoot w:val="00172A27"/>
    <w:rsid w:val="000052D9"/>
    <w:rsid w:val="000223F0"/>
    <w:rsid w:val="000279FF"/>
    <w:rsid w:val="000368F5"/>
    <w:rsid w:val="00046854"/>
    <w:rsid w:val="00047340"/>
    <w:rsid w:val="00050AE8"/>
    <w:rsid w:val="00055AC4"/>
    <w:rsid w:val="00066033"/>
    <w:rsid w:val="000743D3"/>
    <w:rsid w:val="0007641A"/>
    <w:rsid w:val="00080179"/>
    <w:rsid w:val="00085E24"/>
    <w:rsid w:val="0009015A"/>
    <w:rsid w:val="000938C9"/>
    <w:rsid w:val="000978EF"/>
    <w:rsid w:val="000A039F"/>
    <w:rsid w:val="000A0A09"/>
    <w:rsid w:val="000A6E4C"/>
    <w:rsid w:val="000B2EEF"/>
    <w:rsid w:val="000B3AE1"/>
    <w:rsid w:val="000B5FD9"/>
    <w:rsid w:val="000C521F"/>
    <w:rsid w:val="000C5DC9"/>
    <w:rsid w:val="000C67C1"/>
    <w:rsid w:val="000C7A8F"/>
    <w:rsid w:val="000D294B"/>
    <w:rsid w:val="000D749E"/>
    <w:rsid w:val="000E40C1"/>
    <w:rsid w:val="000E505F"/>
    <w:rsid w:val="000E5EB5"/>
    <w:rsid w:val="000F0496"/>
    <w:rsid w:val="000F12BD"/>
    <w:rsid w:val="000F4863"/>
    <w:rsid w:val="000F6CB2"/>
    <w:rsid w:val="00103331"/>
    <w:rsid w:val="00103D8A"/>
    <w:rsid w:val="00104DF4"/>
    <w:rsid w:val="0010624D"/>
    <w:rsid w:val="00111AF8"/>
    <w:rsid w:val="001168F0"/>
    <w:rsid w:val="00131274"/>
    <w:rsid w:val="001325B9"/>
    <w:rsid w:val="00135120"/>
    <w:rsid w:val="00136F13"/>
    <w:rsid w:val="00141126"/>
    <w:rsid w:val="001415F8"/>
    <w:rsid w:val="0014238E"/>
    <w:rsid w:val="00142879"/>
    <w:rsid w:val="00144654"/>
    <w:rsid w:val="001455C2"/>
    <w:rsid w:val="00152A42"/>
    <w:rsid w:val="00152A51"/>
    <w:rsid w:val="00157B21"/>
    <w:rsid w:val="00160C19"/>
    <w:rsid w:val="00163984"/>
    <w:rsid w:val="001678A2"/>
    <w:rsid w:val="001719FB"/>
    <w:rsid w:val="00172A27"/>
    <w:rsid w:val="00173C4A"/>
    <w:rsid w:val="00180723"/>
    <w:rsid w:val="0018226F"/>
    <w:rsid w:val="00185B40"/>
    <w:rsid w:val="001965EB"/>
    <w:rsid w:val="00196CF5"/>
    <w:rsid w:val="001A009C"/>
    <w:rsid w:val="001A1320"/>
    <w:rsid w:val="001A1E62"/>
    <w:rsid w:val="001A2B19"/>
    <w:rsid w:val="001B3B29"/>
    <w:rsid w:val="001B4AE2"/>
    <w:rsid w:val="001B4E5B"/>
    <w:rsid w:val="001C7913"/>
    <w:rsid w:val="001D1A9E"/>
    <w:rsid w:val="001D1EDD"/>
    <w:rsid w:val="001E62E6"/>
    <w:rsid w:val="001E6CB4"/>
    <w:rsid w:val="001F1984"/>
    <w:rsid w:val="001F45DA"/>
    <w:rsid w:val="001F7AA4"/>
    <w:rsid w:val="00200D1A"/>
    <w:rsid w:val="00207E72"/>
    <w:rsid w:val="00216212"/>
    <w:rsid w:val="002174DD"/>
    <w:rsid w:val="0022067C"/>
    <w:rsid w:val="00222E14"/>
    <w:rsid w:val="00224528"/>
    <w:rsid w:val="0022617F"/>
    <w:rsid w:val="00227968"/>
    <w:rsid w:val="00231E86"/>
    <w:rsid w:val="002343C6"/>
    <w:rsid w:val="00241309"/>
    <w:rsid w:val="00244BC6"/>
    <w:rsid w:val="00254EF1"/>
    <w:rsid w:val="0026429E"/>
    <w:rsid w:val="002653A2"/>
    <w:rsid w:val="002676D2"/>
    <w:rsid w:val="002728EB"/>
    <w:rsid w:val="002736C2"/>
    <w:rsid w:val="002775A8"/>
    <w:rsid w:val="00285AFA"/>
    <w:rsid w:val="0029220B"/>
    <w:rsid w:val="0029515B"/>
    <w:rsid w:val="00296186"/>
    <w:rsid w:val="00296876"/>
    <w:rsid w:val="002A52CF"/>
    <w:rsid w:val="002A7806"/>
    <w:rsid w:val="002A7DB3"/>
    <w:rsid w:val="002B2330"/>
    <w:rsid w:val="002B3328"/>
    <w:rsid w:val="002B345F"/>
    <w:rsid w:val="002C148C"/>
    <w:rsid w:val="002C793B"/>
    <w:rsid w:val="002D2534"/>
    <w:rsid w:val="002D2A19"/>
    <w:rsid w:val="002D4674"/>
    <w:rsid w:val="002D4768"/>
    <w:rsid w:val="002D6028"/>
    <w:rsid w:val="002E6D71"/>
    <w:rsid w:val="002F28AD"/>
    <w:rsid w:val="002F3501"/>
    <w:rsid w:val="00301FFB"/>
    <w:rsid w:val="00302751"/>
    <w:rsid w:val="00316F55"/>
    <w:rsid w:val="00317779"/>
    <w:rsid w:val="00323287"/>
    <w:rsid w:val="00323D30"/>
    <w:rsid w:val="00324426"/>
    <w:rsid w:val="00331B86"/>
    <w:rsid w:val="003343EF"/>
    <w:rsid w:val="00334DD8"/>
    <w:rsid w:val="003355EF"/>
    <w:rsid w:val="00341B62"/>
    <w:rsid w:val="00341B88"/>
    <w:rsid w:val="003447DD"/>
    <w:rsid w:val="00345D3F"/>
    <w:rsid w:val="00350832"/>
    <w:rsid w:val="00352DD1"/>
    <w:rsid w:val="0035636F"/>
    <w:rsid w:val="003563CF"/>
    <w:rsid w:val="0035749B"/>
    <w:rsid w:val="00357A26"/>
    <w:rsid w:val="00360D70"/>
    <w:rsid w:val="003611C0"/>
    <w:rsid w:val="003626ED"/>
    <w:rsid w:val="0036653C"/>
    <w:rsid w:val="00367278"/>
    <w:rsid w:val="003674C0"/>
    <w:rsid w:val="00367BFA"/>
    <w:rsid w:val="00371E5B"/>
    <w:rsid w:val="003730B4"/>
    <w:rsid w:val="00374404"/>
    <w:rsid w:val="00375BD3"/>
    <w:rsid w:val="00376CFF"/>
    <w:rsid w:val="003829D1"/>
    <w:rsid w:val="00382B28"/>
    <w:rsid w:val="003836E2"/>
    <w:rsid w:val="00385884"/>
    <w:rsid w:val="00385BC1"/>
    <w:rsid w:val="00386C66"/>
    <w:rsid w:val="00390F24"/>
    <w:rsid w:val="00397A6C"/>
    <w:rsid w:val="003A09AC"/>
    <w:rsid w:val="003A1636"/>
    <w:rsid w:val="003A374C"/>
    <w:rsid w:val="003A4629"/>
    <w:rsid w:val="003B10A8"/>
    <w:rsid w:val="003B6B67"/>
    <w:rsid w:val="003B7D06"/>
    <w:rsid w:val="003D231E"/>
    <w:rsid w:val="003E18ED"/>
    <w:rsid w:val="003E3C12"/>
    <w:rsid w:val="003E6872"/>
    <w:rsid w:val="003E7C44"/>
    <w:rsid w:val="003F259F"/>
    <w:rsid w:val="004011D2"/>
    <w:rsid w:val="004042CA"/>
    <w:rsid w:val="0040473B"/>
    <w:rsid w:val="0041199C"/>
    <w:rsid w:val="00411D3D"/>
    <w:rsid w:val="00415FCB"/>
    <w:rsid w:val="00420A42"/>
    <w:rsid w:val="00421DC0"/>
    <w:rsid w:val="00422A83"/>
    <w:rsid w:val="00424808"/>
    <w:rsid w:val="00426D6B"/>
    <w:rsid w:val="00427666"/>
    <w:rsid w:val="00433826"/>
    <w:rsid w:val="004347BA"/>
    <w:rsid w:val="004359A2"/>
    <w:rsid w:val="00435A0F"/>
    <w:rsid w:val="0043657C"/>
    <w:rsid w:val="00437DA4"/>
    <w:rsid w:val="00441F86"/>
    <w:rsid w:val="00445C77"/>
    <w:rsid w:val="00451871"/>
    <w:rsid w:val="0047226C"/>
    <w:rsid w:val="00476FA4"/>
    <w:rsid w:val="0048094A"/>
    <w:rsid w:val="00482FBA"/>
    <w:rsid w:val="004830C7"/>
    <w:rsid w:val="004836B1"/>
    <w:rsid w:val="00484719"/>
    <w:rsid w:val="004853EB"/>
    <w:rsid w:val="004855BE"/>
    <w:rsid w:val="00487D39"/>
    <w:rsid w:val="00496389"/>
    <w:rsid w:val="004965F4"/>
    <w:rsid w:val="004A0E7E"/>
    <w:rsid w:val="004A2148"/>
    <w:rsid w:val="004B305E"/>
    <w:rsid w:val="004B428E"/>
    <w:rsid w:val="004B609C"/>
    <w:rsid w:val="004B6CC7"/>
    <w:rsid w:val="004C338F"/>
    <w:rsid w:val="004C3399"/>
    <w:rsid w:val="004C454D"/>
    <w:rsid w:val="004C5D32"/>
    <w:rsid w:val="004D10AE"/>
    <w:rsid w:val="004D16D1"/>
    <w:rsid w:val="004D3CF4"/>
    <w:rsid w:val="004E12D5"/>
    <w:rsid w:val="004E293B"/>
    <w:rsid w:val="004E414B"/>
    <w:rsid w:val="004E4917"/>
    <w:rsid w:val="004E5DA5"/>
    <w:rsid w:val="004F0573"/>
    <w:rsid w:val="004F63D2"/>
    <w:rsid w:val="004F6568"/>
    <w:rsid w:val="00505758"/>
    <w:rsid w:val="005112E7"/>
    <w:rsid w:val="00512CF4"/>
    <w:rsid w:val="00514E9F"/>
    <w:rsid w:val="005153DA"/>
    <w:rsid w:val="00517966"/>
    <w:rsid w:val="00521A28"/>
    <w:rsid w:val="005309FA"/>
    <w:rsid w:val="005312CC"/>
    <w:rsid w:val="0053176A"/>
    <w:rsid w:val="00533ACA"/>
    <w:rsid w:val="005413FC"/>
    <w:rsid w:val="00541771"/>
    <w:rsid w:val="005423D7"/>
    <w:rsid w:val="00543E27"/>
    <w:rsid w:val="005565E6"/>
    <w:rsid w:val="0056107E"/>
    <w:rsid w:val="005634D4"/>
    <w:rsid w:val="005672E8"/>
    <w:rsid w:val="00567BFA"/>
    <w:rsid w:val="00572009"/>
    <w:rsid w:val="00576292"/>
    <w:rsid w:val="00584E4C"/>
    <w:rsid w:val="005870EA"/>
    <w:rsid w:val="0058718C"/>
    <w:rsid w:val="0059219B"/>
    <w:rsid w:val="00592864"/>
    <w:rsid w:val="005956A3"/>
    <w:rsid w:val="0059669C"/>
    <w:rsid w:val="005A12D2"/>
    <w:rsid w:val="005A55B0"/>
    <w:rsid w:val="005B58B0"/>
    <w:rsid w:val="005B5CC3"/>
    <w:rsid w:val="005B698A"/>
    <w:rsid w:val="005C16E7"/>
    <w:rsid w:val="005D1F87"/>
    <w:rsid w:val="005D585E"/>
    <w:rsid w:val="005D6181"/>
    <w:rsid w:val="005E4D21"/>
    <w:rsid w:val="00605FAE"/>
    <w:rsid w:val="00606A11"/>
    <w:rsid w:val="00607456"/>
    <w:rsid w:val="00607BB5"/>
    <w:rsid w:val="00611F0D"/>
    <w:rsid w:val="00622068"/>
    <w:rsid w:val="006230AF"/>
    <w:rsid w:val="00623A72"/>
    <w:rsid w:val="00623CAF"/>
    <w:rsid w:val="00626828"/>
    <w:rsid w:val="0062765D"/>
    <w:rsid w:val="006309F1"/>
    <w:rsid w:val="0063398F"/>
    <w:rsid w:val="006369F9"/>
    <w:rsid w:val="006427AB"/>
    <w:rsid w:val="00644DE2"/>
    <w:rsid w:val="00646E91"/>
    <w:rsid w:val="006477FE"/>
    <w:rsid w:val="00651D5E"/>
    <w:rsid w:val="00653301"/>
    <w:rsid w:val="00655D5D"/>
    <w:rsid w:val="0065677D"/>
    <w:rsid w:val="006616AA"/>
    <w:rsid w:val="00683071"/>
    <w:rsid w:val="00686280"/>
    <w:rsid w:val="0069173E"/>
    <w:rsid w:val="00691E83"/>
    <w:rsid w:val="00696638"/>
    <w:rsid w:val="00696BD4"/>
    <w:rsid w:val="006A4AAC"/>
    <w:rsid w:val="006B1B09"/>
    <w:rsid w:val="006B276B"/>
    <w:rsid w:val="006B7487"/>
    <w:rsid w:val="006B7CA6"/>
    <w:rsid w:val="006D13B7"/>
    <w:rsid w:val="006D2E99"/>
    <w:rsid w:val="006D559F"/>
    <w:rsid w:val="006D5BC4"/>
    <w:rsid w:val="006D7FDA"/>
    <w:rsid w:val="006E3C3F"/>
    <w:rsid w:val="006E4E46"/>
    <w:rsid w:val="006F278F"/>
    <w:rsid w:val="006F598C"/>
    <w:rsid w:val="006F6BFD"/>
    <w:rsid w:val="007009DE"/>
    <w:rsid w:val="00701954"/>
    <w:rsid w:val="00701B68"/>
    <w:rsid w:val="00701C47"/>
    <w:rsid w:val="00705106"/>
    <w:rsid w:val="007052AB"/>
    <w:rsid w:val="0070651B"/>
    <w:rsid w:val="007112D2"/>
    <w:rsid w:val="00714B14"/>
    <w:rsid w:val="00717302"/>
    <w:rsid w:val="00722CCE"/>
    <w:rsid w:val="00722E7B"/>
    <w:rsid w:val="007334F3"/>
    <w:rsid w:val="00734ADC"/>
    <w:rsid w:val="00742F10"/>
    <w:rsid w:val="00743123"/>
    <w:rsid w:val="0074368D"/>
    <w:rsid w:val="007534DA"/>
    <w:rsid w:val="00760C58"/>
    <w:rsid w:val="00761C4C"/>
    <w:rsid w:val="00770943"/>
    <w:rsid w:val="007762BC"/>
    <w:rsid w:val="00776512"/>
    <w:rsid w:val="007805ED"/>
    <w:rsid w:val="0078080D"/>
    <w:rsid w:val="00781579"/>
    <w:rsid w:val="007840D5"/>
    <w:rsid w:val="007852AD"/>
    <w:rsid w:val="00786F0A"/>
    <w:rsid w:val="00796079"/>
    <w:rsid w:val="007A0D86"/>
    <w:rsid w:val="007A593B"/>
    <w:rsid w:val="007B3412"/>
    <w:rsid w:val="007B3C7E"/>
    <w:rsid w:val="007B401E"/>
    <w:rsid w:val="007B6C3A"/>
    <w:rsid w:val="007C4127"/>
    <w:rsid w:val="007D1CFC"/>
    <w:rsid w:val="007D6810"/>
    <w:rsid w:val="007E5DBF"/>
    <w:rsid w:val="007F2FA3"/>
    <w:rsid w:val="0080460A"/>
    <w:rsid w:val="008108DD"/>
    <w:rsid w:val="00811DC4"/>
    <w:rsid w:val="008173F0"/>
    <w:rsid w:val="00821322"/>
    <w:rsid w:val="00824B68"/>
    <w:rsid w:val="00826C23"/>
    <w:rsid w:val="00826D1E"/>
    <w:rsid w:val="008371C3"/>
    <w:rsid w:val="00840885"/>
    <w:rsid w:val="008420E8"/>
    <w:rsid w:val="00842424"/>
    <w:rsid w:val="00842A15"/>
    <w:rsid w:val="0085454D"/>
    <w:rsid w:val="00856B28"/>
    <w:rsid w:val="00857026"/>
    <w:rsid w:val="00860492"/>
    <w:rsid w:val="00862156"/>
    <w:rsid w:val="00865F63"/>
    <w:rsid w:val="008662F0"/>
    <w:rsid w:val="008665B6"/>
    <w:rsid w:val="0087060A"/>
    <w:rsid w:val="00871866"/>
    <w:rsid w:val="00872215"/>
    <w:rsid w:val="008770AD"/>
    <w:rsid w:val="00884A2F"/>
    <w:rsid w:val="00890D2C"/>
    <w:rsid w:val="008926C4"/>
    <w:rsid w:val="00892C34"/>
    <w:rsid w:val="0089429B"/>
    <w:rsid w:val="008975DC"/>
    <w:rsid w:val="008A198B"/>
    <w:rsid w:val="008A4F10"/>
    <w:rsid w:val="008B4461"/>
    <w:rsid w:val="008C44FE"/>
    <w:rsid w:val="008E1F1E"/>
    <w:rsid w:val="008E344E"/>
    <w:rsid w:val="008E781B"/>
    <w:rsid w:val="008F76BA"/>
    <w:rsid w:val="008F7D8C"/>
    <w:rsid w:val="009007D2"/>
    <w:rsid w:val="00900B4E"/>
    <w:rsid w:val="0090353C"/>
    <w:rsid w:val="00905E02"/>
    <w:rsid w:val="009107A1"/>
    <w:rsid w:val="00916B13"/>
    <w:rsid w:val="00920F50"/>
    <w:rsid w:val="0092312A"/>
    <w:rsid w:val="00924BFF"/>
    <w:rsid w:val="0092635B"/>
    <w:rsid w:val="00927F9F"/>
    <w:rsid w:val="00932175"/>
    <w:rsid w:val="00932ADF"/>
    <w:rsid w:val="0093391D"/>
    <w:rsid w:val="00934149"/>
    <w:rsid w:val="0093503D"/>
    <w:rsid w:val="00937146"/>
    <w:rsid w:val="00941379"/>
    <w:rsid w:val="00941AF6"/>
    <w:rsid w:val="00963924"/>
    <w:rsid w:val="00963F4E"/>
    <w:rsid w:val="00967CA4"/>
    <w:rsid w:val="00971ED1"/>
    <w:rsid w:val="0097401D"/>
    <w:rsid w:val="009758F8"/>
    <w:rsid w:val="009812FF"/>
    <w:rsid w:val="009862A2"/>
    <w:rsid w:val="00987787"/>
    <w:rsid w:val="00990A54"/>
    <w:rsid w:val="00996B6D"/>
    <w:rsid w:val="009A3AC1"/>
    <w:rsid w:val="009A40C8"/>
    <w:rsid w:val="009A6C70"/>
    <w:rsid w:val="009A6DA2"/>
    <w:rsid w:val="009A733A"/>
    <w:rsid w:val="009B16BC"/>
    <w:rsid w:val="009B5CE8"/>
    <w:rsid w:val="009C26B5"/>
    <w:rsid w:val="009D07D0"/>
    <w:rsid w:val="009D4DCB"/>
    <w:rsid w:val="009D57B9"/>
    <w:rsid w:val="009D58BB"/>
    <w:rsid w:val="009D5E03"/>
    <w:rsid w:val="009D72CA"/>
    <w:rsid w:val="009D7698"/>
    <w:rsid w:val="009E2727"/>
    <w:rsid w:val="009E3455"/>
    <w:rsid w:val="009F039A"/>
    <w:rsid w:val="009F4A9B"/>
    <w:rsid w:val="009F5024"/>
    <w:rsid w:val="009F7E7C"/>
    <w:rsid w:val="00A04822"/>
    <w:rsid w:val="00A1433B"/>
    <w:rsid w:val="00A14E5F"/>
    <w:rsid w:val="00A160F5"/>
    <w:rsid w:val="00A35635"/>
    <w:rsid w:val="00A362FE"/>
    <w:rsid w:val="00A44111"/>
    <w:rsid w:val="00A450BF"/>
    <w:rsid w:val="00A55C04"/>
    <w:rsid w:val="00A571F4"/>
    <w:rsid w:val="00A61440"/>
    <w:rsid w:val="00A61469"/>
    <w:rsid w:val="00A65DBC"/>
    <w:rsid w:val="00A75BB5"/>
    <w:rsid w:val="00A76E45"/>
    <w:rsid w:val="00A77A9D"/>
    <w:rsid w:val="00A81720"/>
    <w:rsid w:val="00A84947"/>
    <w:rsid w:val="00A86E67"/>
    <w:rsid w:val="00A90445"/>
    <w:rsid w:val="00A90476"/>
    <w:rsid w:val="00A91AF4"/>
    <w:rsid w:val="00A93906"/>
    <w:rsid w:val="00AA3188"/>
    <w:rsid w:val="00AA62B8"/>
    <w:rsid w:val="00AA71C1"/>
    <w:rsid w:val="00AB1675"/>
    <w:rsid w:val="00AB1BDF"/>
    <w:rsid w:val="00AB39C0"/>
    <w:rsid w:val="00AB40D1"/>
    <w:rsid w:val="00AB4104"/>
    <w:rsid w:val="00AB712E"/>
    <w:rsid w:val="00AB7303"/>
    <w:rsid w:val="00AC086A"/>
    <w:rsid w:val="00AC1FD0"/>
    <w:rsid w:val="00AC30CF"/>
    <w:rsid w:val="00AC3DD5"/>
    <w:rsid w:val="00AC4F7B"/>
    <w:rsid w:val="00AC6ABD"/>
    <w:rsid w:val="00AC77E0"/>
    <w:rsid w:val="00AD4FF9"/>
    <w:rsid w:val="00AD598B"/>
    <w:rsid w:val="00AD6124"/>
    <w:rsid w:val="00AD75FF"/>
    <w:rsid w:val="00AD7A31"/>
    <w:rsid w:val="00AE048E"/>
    <w:rsid w:val="00AE131C"/>
    <w:rsid w:val="00AE44E9"/>
    <w:rsid w:val="00AF0644"/>
    <w:rsid w:val="00AF174B"/>
    <w:rsid w:val="00AF6340"/>
    <w:rsid w:val="00AF6CA1"/>
    <w:rsid w:val="00B02DA9"/>
    <w:rsid w:val="00B03C5D"/>
    <w:rsid w:val="00B04007"/>
    <w:rsid w:val="00B13214"/>
    <w:rsid w:val="00B14F17"/>
    <w:rsid w:val="00B1662A"/>
    <w:rsid w:val="00B17A83"/>
    <w:rsid w:val="00B17ACB"/>
    <w:rsid w:val="00B2038A"/>
    <w:rsid w:val="00B329D0"/>
    <w:rsid w:val="00B347B5"/>
    <w:rsid w:val="00B3509C"/>
    <w:rsid w:val="00B3648E"/>
    <w:rsid w:val="00B4538A"/>
    <w:rsid w:val="00B5001E"/>
    <w:rsid w:val="00B53058"/>
    <w:rsid w:val="00B5358D"/>
    <w:rsid w:val="00B5601A"/>
    <w:rsid w:val="00B6304D"/>
    <w:rsid w:val="00B634E9"/>
    <w:rsid w:val="00B64917"/>
    <w:rsid w:val="00B66289"/>
    <w:rsid w:val="00B945B4"/>
    <w:rsid w:val="00B96FC7"/>
    <w:rsid w:val="00BA10AD"/>
    <w:rsid w:val="00BA358E"/>
    <w:rsid w:val="00BA70C3"/>
    <w:rsid w:val="00BB505F"/>
    <w:rsid w:val="00BC55B8"/>
    <w:rsid w:val="00BD058C"/>
    <w:rsid w:val="00BD17DD"/>
    <w:rsid w:val="00BD2E36"/>
    <w:rsid w:val="00BE4262"/>
    <w:rsid w:val="00BF022A"/>
    <w:rsid w:val="00BF4067"/>
    <w:rsid w:val="00C01D79"/>
    <w:rsid w:val="00C03239"/>
    <w:rsid w:val="00C03E3A"/>
    <w:rsid w:val="00C13B2E"/>
    <w:rsid w:val="00C13EE9"/>
    <w:rsid w:val="00C26386"/>
    <w:rsid w:val="00C30B61"/>
    <w:rsid w:val="00C346FA"/>
    <w:rsid w:val="00C34A01"/>
    <w:rsid w:val="00C34D29"/>
    <w:rsid w:val="00C35B5E"/>
    <w:rsid w:val="00C446E8"/>
    <w:rsid w:val="00C45C09"/>
    <w:rsid w:val="00C55FFC"/>
    <w:rsid w:val="00C56C35"/>
    <w:rsid w:val="00C57265"/>
    <w:rsid w:val="00C644AA"/>
    <w:rsid w:val="00C70341"/>
    <w:rsid w:val="00C85B30"/>
    <w:rsid w:val="00C87A57"/>
    <w:rsid w:val="00CA7EA6"/>
    <w:rsid w:val="00CB5E4D"/>
    <w:rsid w:val="00CB6107"/>
    <w:rsid w:val="00CB6B9B"/>
    <w:rsid w:val="00CB70C5"/>
    <w:rsid w:val="00CB765F"/>
    <w:rsid w:val="00CC3B44"/>
    <w:rsid w:val="00CC5500"/>
    <w:rsid w:val="00CC6835"/>
    <w:rsid w:val="00CC6994"/>
    <w:rsid w:val="00CE29BD"/>
    <w:rsid w:val="00CF0750"/>
    <w:rsid w:val="00D025BA"/>
    <w:rsid w:val="00D076BF"/>
    <w:rsid w:val="00D07CD4"/>
    <w:rsid w:val="00D11334"/>
    <w:rsid w:val="00D12BA6"/>
    <w:rsid w:val="00D141A9"/>
    <w:rsid w:val="00D15826"/>
    <w:rsid w:val="00D16A5B"/>
    <w:rsid w:val="00D23BE9"/>
    <w:rsid w:val="00D306E6"/>
    <w:rsid w:val="00D33933"/>
    <w:rsid w:val="00D41911"/>
    <w:rsid w:val="00D44BD8"/>
    <w:rsid w:val="00D464C0"/>
    <w:rsid w:val="00D50233"/>
    <w:rsid w:val="00D523B9"/>
    <w:rsid w:val="00D54543"/>
    <w:rsid w:val="00D56FBD"/>
    <w:rsid w:val="00D57417"/>
    <w:rsid w:val="00D63028"/>
    <w:rsid w:val="00D72E67"/>
    <w:rsid w:val="00D75C52"/>
    <w:rsid w:val="00D7671C"/>
    <w:rsid w:val="00D81A9D"/>
    <w:rsid w:val="00D833B5"/>
    <w:rsid w:val="00D83B06"/>
    <w:rsid w:val="00D85061"/>
    <w:rsid w:val="00D91652"/>
    <w:rsid w:val="00D92C21"/>
    <w:rsid w:val="00D92D05"/>
    <w:rsid w:val="00D94904"/>
    <w:rsid w:val="00DA46AF"/>
    <w:rsid w:val="00DA59A2"/>
    <w:rsid w:val="00DA6AF9"/>
    <w:rsid w:val="00DB268C"/>
    <w:rsid w:val="00DC2F88"/>
    <w:rsid w:val="00DC46E1"/>
    <w:rsid w:val="00DC5DD2"/>
    <w:rsid w:val="00DD0756"/>
    <w:rsid w:val="00DE03BE"/>
    <w:rsid w:val="00DE2FD5"/>
    <w:rsid w:val="00DE37C6"/>
    <w:rsid w:val="00DE3DDA"/>
    <w:rsid w:val="00DE5542"/>
    <w:rsid w:val="00DF04C4"/>
    <w:rsid w:val="00DF113A"/>
    <w:rsid w:val="00DF3603"/>
    <w:rsid w:val="00DF5377"/>
    <w:rsid w:val="00E00FAF"/>
    <w:rsid w:val="00E014D1"/>
    <w:rsid w:val="00E05092"/>
    <w:rsid w:val="00E102A0"/>
    <w:rsid w:val="00E122D7"/>
    <w:rsid w:val="00E13351"/>
    <w:rsid w:val="00E1681B"/>
    <w:rsid w:val="00E176CC"/>
    <w:rsid w:val="00E22D6A"/>
    <w:rsid w:val="00E24879"/>
    <w:rsid w:val="00E419AA"/>
    <w:rsid w:val="00E43DD3"/>
    <w:rsid w:val="00E454B5"/>
    <w:rsid w:val="00E46BAA"/>
    <w:rsid w:val="00E5608D"/>
    <w:rsid w:val="00E56415"/>
    <w:rsid w:val="00E60884"/>
    <w:rsid w:val="00E61739"/>
    <w:rsid w:val="00E86F3B"/>
    <w:rsid w:val="00E876D3"/>
    <w:rsid w:val="00E91030"/>
    <w:rsid w:val="00E93F00"/>
    <w:rsid w:val="00EA058C"/>
    <w:rsid w:val="00EA4B52"/>
    <w:rsid w:val="00EA534D"/>
    <w:rsid w:val="00EA5DE5"/>
    <w:rsid w:val="00EB045C"/>
    <w:rsid w:val="00EB0E49"/>
    <w:rsid w:val="00EB3A1B"/>
    <w:rsid w:val="00EB7CE5"/>
    <w:rsid w:val="00EC5210"/>
    <w:rsid w:val="00ED1E0E"/>
    <w:rsid w:val="00ED2A6D"/>
    <w:rsid w:val="00ED3FD8"/>
    <w:rsid w:val="00ED7288"/>
    <w:rsid w:val="00ED7BE5"/>
    <w:rsid w:val="00ED7E23"/>
    <w:rsid w:val="00EE01C0"/>
    <w:rsid w:val="00EE436A"/>
    <w:rsid w:val="00F01099"/>
    <w:rsid w:val="00F07DB4"/>
    <w:rsid w:val="00F2587A"/>
    <w:rsid w:val="00F26CFB"/>
    <w:rsid w:val="00F26D67"/>
    <w:rsid w:val="00F27CC1"/>
    <w:rsid w:val="00F310A4"/>
    <w:rsid w:val="00F4024B"/>
    <w:rsid w:val="00F41AB4"/>
    <w:rsid w:val="00F43DC9"/>
    <w:rsid w:val="00F443B3"/>
    <w:rsid w:val="00F448EC"/>
    <w:rsid w:val="00F467F0"/>
    <w:rsid w:val="00F47154"/>
    <w:rsid w:val="00F52EFC"/>
    <w:rsid w:val="00F607CF"/>
    <w:rsid w:val="00F66757"/>
    <w:rsid w:val="00F7590A"/>
    <w:rsid w:val="00F77CD1"/>
    <w:rsid w:val="00F827C8"/>
    <w:rsid w:val="00F83805"/>
    <w:rsid w:val="00F90451"/>
    <w:rsid w:val="00F91FDB"/>
    <w:rsid w:val="00F95399"/>
    <w:rsid w:val="00F97295"/>
    <w:rsid w:val="00FA430D"/>
    <w:rsid w:val="00FA6208"/>
    <w:rsid w:val="00FB1069"/>
    <w:rsid w:val="00FB23D0"/>
    <w:rsid w:val="00FB32C8"/>
    <w:rsid w:val="00FC2ADD"/>
    <w:rsid w:val="00FC2F34"/>
    <w:rsid w:val="00FC59FC"/>
    <w:rsid w:val="00FD6A70"/>
    <w:rsid w:val="00FE27BB"/>
    <w:rsid w:val="00FF0185"/>
    <w:rsid w:val="00FF3C10"/>
    <w:rsid w:val="01351FE2"/>
    <w:rsid w:val="01554B11"/>
    <w:rsid w:val="01DB6127"/>
    <w:rsid w:val="02513AD3"/>
    <w:rsid w:val="02CB2107"/>
    <w:rsid w:val="055D5421"/>
    <w:rsid w:val="06A72A7B"/>
    <w:rsid w:val="06FE3A42"/>
    <w:rsid w:val="071579E5"/>
    <w:rsid w:val="074A1D85"/>
    <w:rsid w:val="07BC75F7"/>
    <w:rsid w:val="08BF5E5A"/>
    <w:rsid w:val="097F381D"/>
    <w:rsid w:val="0B4413BD"/>
    <w:rsid w:val="0B833A2A"/>
    <w:rsid w:val="0C2C7CAB"/>
    <w:rsid w:val="0CA37841"/>
    <w:rsid w:val="0CF4371C"/>
    <w:rsid w:val="0E2E5AB0"/>
    <w:rsid w:val="0E30321A"/>
    <w:rsid w:val="0E9F49B1"/>
    <w:rsid w:val="0EA24254"/>
    <w:rsid w:val="0EB82544"/>
    <w:rsid w:val="0ECE669B"/>
    <w:rsid w:val="0EE63D44"/>
    <w:rsid w:val="0EF56A7A"/>
    <w:rsid w:val="0FBC1346"/>
    <w:rsid w:val="0FEF50EF"/>
    <w:rsid w:val="11333889"/>
    <w:rsid w:val="115343AE"/>
    <w:rsid w:val="118916FB"/>
    <w:rsid w:val="11D938FF"/>
    <w:rsid w:val="11FB5CD3"/>
    <w:rsid w:val="13160D6D"/>
    <w:rsid w:val="13834BB0"/>
    <w:rsid w:val="13E512E7"/>
    <w:rsid w:val="147026FF"/>
    <w:rsid w:val="15141DAB"/>
    <w:rsid w:val="160F5C4A"/>
    <w:rsid w:val="167F7E34"/>
    <w:rsid w:val="16A86180"/>
    <w:rsid w:val="16D27EF0"/>
    <w:rsid w:val="175E693E"/>
    <w:rsid w:val="19DD6175"/>
    <w:rsid w:val="1A230556"/>
    <w:rsid w:val="1B1811C0"/>
    <w:rsid w:val="1C067F18"/>
    <w:rsid w:val="1C181028"/>
    <w:rsid w:val="1C512E16"/>
    <w:rsid w:val="1C991E61"/>
    <w:rsid w:val="1D3E783E"/>
    <w:rsid w:val="1E063B6C"/>
    <w:rsid w:val="1E214A6A"/>
    <w:rsid w:val="1FBF278C"/>
    <w:rsid w:val="204F7E4F"/>
    <w:rsid w:val="20AE2D15"/>
    <w:rsid w:val="21C5011E"/>
    <w:rsid w:val="21CF5CF2"/>
    <w:rsid w:val="21F0084A"/>
    <w:rsid w:val="22427039"/>
    <w:rsid w:val="22AB7731"/>
    <w:rsid w:val="24303C58"/>
    <w:rsid w:val="24DE5462"/>
    <w:rsid w:val="253422BE"/>
    <w:rsid w:val="25E24D5B"/>
    <w:rsid w:val="2771332A"/>
    <w:rsid w:val="27F96020"/>
    <w:rsid w:val="28F462CE"/>
    <w:rsid w:val="2A515672"/>
    <w:rsid w:val="2A9A0BF4"/>
    <w:rsid w:val="2B195446"/>
    <w:rsid w:val="2B400C25"/>
    <w:rsid w:val="2BC16D67"/>
    <w:rsid w:val="2C3B74EA"/>
    <w:rsid w:val="2D2D342B"/>
    <w:rsid w:val="2F176141"/>
    <w:rsid w:val="2F7A0206"/>
    <w:rsid w:val="30C9346B"/>
    <w:rsid w:val="30F36D0F"/>
    <w:rsid w:val="31505D6B"/>
    <w:rsid w:val="32513718"/>
    <w:rsid w:val="32586854"/>
    <w:rsid w:val="342C193B"/>
    <w:rsid w:val="343A7D68"/>
    <w:rsid w:val="345F74C7"/>
    <w:rsid w:val="35262FD6"/>
    <w:rsid w:val="36017065"/>
    <w:rsid w:val="36533F02"/>
    <w:rsid w:val="36540539"/>
    <w:rsid w:val="37157C9A"/>
    <w:rsid w:val="383428CB"/>
    <w:rsid w:val="38593838"/>
    <w:rsid w:val="389E359A"/>
    <w:rsid w:val="3A8D5704"/>
    <w:rsid w:val="3B182771"/>
    <w:rsid w:val="3B5D0283"/>
    <w:rsid w:val="3B6F1416"/>
    <w:rsid w:val="3C4B742A"/>
    <w:rsid w:val="3D00750A"/>
    <w:rsid w:val="3D65335E"/>
    <w:rsid w:val="3DC47494"/>
    <w:rsid w:val="3DD75419"/>
    <w:rsid w:val="3E806826"/>
    <w:rsid w:val="3FB53538"/>
    <w:rsid w:val="421122F9"/>
    <w:rsid w:val="427669EC"/>
    <w:rsid w:val="433B57B2"/>
    <w:rsid w:val="438746C4"/>
    <w:rsid w:val="45610B8F"/>
    <w:rsid w:val="456F4189"/>
    <w:rsid w:val="4582210E"/>
    <w:rsid w:val="45D466E2"/>
    <w:rsid w:val="45F0646A"/>
    <w:rsid w:val="46492C2C"/>
    <w:rsid w:val="479A54F2"/>
    <w:rsid w:val="47A43891"/>
    <w:rsid w:val="47B03BA9"/>
    <w:rsid w:val="47DE7B5D"/>
    <w:rsid w:val="49D7392E"/>
    <w:rsid w:val="49FB09F8"/>
    <w:rsid w:val="4A684D67"/>
    <w:rsid w:val="4AA162C3"/>
    <w:rsid w:val="4BE10A3F"/>
    <w:rsid w:val="4CD370C6"/>
    <w:rsid w:val="4DFF1E22"/>
    <w:rsid w:val="4E04493F"/>
    <w:rsid w:val="501827B9"/>
    <w:rsid w:val="510E2E01"/>
    <w:rsid w:val="511968B3"/>
    <w:rsid w:val="53373E0C"/>
    <w:rsid w:val="535A7150"/>
    <w:rsid w:val="53892DB3"/>
    <w:rsid w:val="541F6D7A"/>
    <w:rsid w:val="5497438F"/>
    <w:rsid w:val="54B0031A"/>
    <w:rsid w:val="54F1782E"/>
    <w:rsid w:val="55A376D3"/>
    <w:rsid w:val="56097CE2"/>
    <w:rsid w:val="576E0066"/>
    <w:rsid w:val="59542CE6"/>
    <w:rsid w:val="5984526C"/>
    <w:rsid w:val="5A6C09D0"/>
    <w:rsid w:val="5B2D24CC"/>
    <w:rsid w:val="5B834000"/>
    <w:rsid w:val="60760A2E"/>
    <w:rsid w:val="614918DA"/>
    <w:rsid w:val="61C13B66"/>
    <w:rsid w:val="62E57E3C"/>
    <w:rsid w:val="630A26C8"/>
    <w:rsid w:val="63456FA8"/>
    <w:rsid w:val="63F54324"/>
    <w:rsid w:val="63FC2D13"/>
    <w:rsid w:val="64D21405"/>
    <w:rsid w:val="65BB19BB"/>
    <w:rsid w:val="65C56BAC"/>
    <w:rsid w:val="66250BF8"/>
    <w:rsid w:val="68633168"/>
    <w:rsid w:val="686E7F8F"/>
    <w:rsid w:val="6A54159E"/>
    <w:rsid w:val="6A7F1072"/>
    <w:rsid w:val="6A8B3BD0"/>
    <w:rsid w:val="6AEF5AF0"/>
    <w:rsid w:val="6AF47EF4"/>
    <w:rsid w:val="6C9402E1"/>
    <w:rsid w:val="6D3B2A1F"/>
    <w:rsid w:val="6DF80910"/>
    <w:rsid w:val="6ED529FF"/>
    <w:rsid w:val="6F313EAB"/>
    <w:rsid w:val="6FA66911"/>
    <w:rsid w:val="6FBB727C"/>
    <w:rsid w:val="6FEA6319"/>
    <w:rsid w:val="719A69DA"/>
    <w:rsid w:val="733C304D"/>
    <w:rsid w:val="73746C87"/>
    <w:rsid w:val="739A7D73"/>
    <w:rsid w:val="74814520"/>
    <w:rsid w:val="748A502D"/>
    <w:rsid w:val="75051529"/>
    <w:rsid w:val="756274F0"/>
    <w:rsid w:val="765C05C3"/>
    <w:rsid w:val="76D67314"/>
    <w:rsid w:val="77C655DB"/>
    <w:rsid w:val="7A776EA5"/>
    <w:rsid w:val="7A9674E6"/>
    <w:rsid w:val="7AA80E99"/>
    <w:rsid w:val="7ABF58D0"/>
    <w:rsid w:val="7B4524BD"/>
    <w:rsid w:val="7D0F1E92"/>
    <w:rsid w:val="7D831878"/>
    <w:rsid w:val="7DF917AF"/>
    <w:rsid w:val="7E066731"/>
    <w:rsid w:val="7E1445C9"/>
    <w:rsid w:val="7E1507D5"/>
    <w:rsid w:val="7E9E1392"/>
    <w:rsid w:val="7FE93E1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0"/>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4">
    <w:name w:val="heading 2"/>
    <w:basedOn w:val="1"/>
    <w:next w:val="5"/>
    <w:link w:val="102"/>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6">
    <w:name w:val="heading 3"/>
    <w:basedOn w:val="1"/>
    <w:next w:val="5"/>
    <w:link w:val="119"/>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7">
    <w:name w:val="heading 4"/>
    <w:basedOn w:val="1"/>
    <w:next w:val="5"/>
    <w:link w:val="93"/>
    <w:qFormat/>
    <w:uiPriority w:val="0"/>
    <w:pPr>
      <w:keepNext/>
      <w:keepLines/>
      <w:spacing w:before="280" w:after="290" w:line="376" w:lineRule="auto"/>
      <w:outlineLvl w:val="3"/>
    </w:pPr>
    <w:rPr>
      <w:rFonts w:ascii="Arial" w:hAnsi="Arial" w:eastAsia="黑体"/>
      <w:b/>
      <w:sz w:val="28"/>
      <w:szCs w:val="20"/>
    </w:rPr>
  </w:style>
  <w:style w:type="paragraph" w:styleId="8">
    <w:name w:val="heading 5"/>
    <w:basedOn w:val="1"/>
    <w:next w:val="5"/>
    <w:link w:val="106"/>
    <w:qFormat/>
    <w:uiPriority w:val="0"/>
    <w:pPr>
      <w:keepNext/>
      <w:keepLines/>
      <w:spacing w:before="280" w:after="290" w:line="376" w:lineRule="auto"/>
      <w:outlineLvl w:val="4"/>
    </w:pPr>
    <w:rPr>
      <w:b/>
      <w:sz w:val="28"/>
      <w:szCs w:val="20"/>
    </w:rPr>
  </w:style>
  <w:style w:type="paragraph" w:styleId="9">
    <w:name w:val="heading 6"/>
    <w:basedOn w:val="1"/>
    <w:next w:val="5"/>
    <w:link w:val="91"/>
    <w:qFormat/>
    <w:uiPriority w:val="0"/>
    <w:pPr>
      <w:keepNext/>
      <w:keepLines/>
      <w:spacing w:before="240" w:after="64" w:line="320" w:lineRule="auto"/>
      <w:outlineLvl w:val="5"/>
    </w:pPr>
    <w:rPr>
      <w:rFonts w:ascii="Arial" w:hAnsi="Arial" w:eastAsia="黑体"/>
      <w:b/>
      <w:sz w:val="24"/>
      <w:szCs w:val="20"/>
    </w:rPr>
  </w:style>
  <w:style w:type="paragraph" w:styleId="10">
    <w:name w:val="heading 7"/>
    <w:basedOn w:val="1"/>
    <w:next w:val="5"/>
    <w:link w:val="111"/>
    <w:qFormat/>
    <w:uiPriority w:val="0"/>
    <w:pPr>
      <w:keepNext/>
      <w:keepLines/>
      <w:spacing w:before="240" w:after="64" w:line="320" w:lineRule="auto"/>
      <w:outlineLvl w:val="6"/>
    </w:pPr>
    <w:rPr>
      <w:b/>
      <w:sz w:val="24"/>
      <w:szCs w:val="20"/>
    </w:rPr>
  </w:style>
  <w:style w:type="paragraph" w:styleId="11">
    <w:name w:val="heading 8"/>
    <w:basedOn w:val="1"/>
    <w:next w:val="5"/>
    <w:link w:val="98"/>
    <w:qFormat/>
    <w:uiPriority w:val="0"/>
    <w:pPr>
      <w:keepNext/>
      <w:keepLines/>
      <w:spacing w:before="240" w:after="64" w:line="320" w:lineRule="auto"/>
      <w:outlineLvl w:val="7"/>
    </w:pPr>
    <w:rPr>
      <w:rFonts w:ascii="Arial" w:hAnsi="Arial" w:eastAsia="黑体"/>
      <w:sz w:val="24"/>
      <w:szCs w:val="20"/>
    </w:rPr>
  </w:style>
  <w:style w:type="paragraph" w:styleId="12">
    <w:name w:val="heading 9"/>
    <w:basedOn w:val="1"/>
    <w:next w:val="5"/>
    <w:link w:val="90"/>
    <w:qFormat/>
    <w:uiPriority w:val="0"/>
    <w:pPr>
      <w:keepNext/>
      <w:keepLines/>
      <w:spacing w:before="240" w:after="64" w:line="320" w:lineRule="auto"/>
      <w:outlineLvl w:val="8"/>
    </w:pPr>
    <w:rPr>
      <w:rFonts w:ascii="Arial" w:hAnsi="Arial" w:eastAsia="黑体"/>
      <w:szCs w:val="20"/>
    </w:rPr>
  </w:style>
  <w:style w:type="character" w:default="1" w:styleId="48">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6"/>
    <w:qFormat/>
    <w:uiPriority w:val="0"/>
    <w:pPr>
      <w:spacing w:after="120"/>
    </w:pPr>
  </w:style>
  <w:style w:type="paragraph" w:styleId="5">
    <w:name w:val="Normal Indent"/>
    <w:basedOn w:val="1"/>
    <w:link w:val="113"/>
    <w:qFormat/>
    <w:uiPriority w:val="0"/>
    <w:pPr>
      <w:autoSpaceDE w:val="0"/>
      <w:autoSpaceDN w:val="0"/>
      <w:adjustRightInd w:val="0"/>
      <w:ind w:firstLine="420"/>
      <w:jc w:val="left"/>
      <w:textAlignment w:val="baseline"/>
    </w:pPr>
    <w:rPr>
      <w:rFonts w:ascii="宋体"/>
      <w:kern w:val="0"/>
      <w:sz w:val="34"/>
      <w:szCs w:val="20"/>
    </w:rPr>
  </w:style>
  <w:style w:type="paragraph" w:styleId="13">
    <w:name w:val="toc 7"/>
    <w:basedOn w:val="1"/>
    <w:next w:val="1"/>
    <w:qFormat/>
    <w:uiPriority w:val="0"/>
    <w:pPr>
      <w:ind w:left="1200" w:leftChars="1200"/>
    </w:pPr>
    <w:rPr>
      <w:rFonts w:ascii="Calibri" w:hAnsi="Calibri"/>
      <w:szCs w:val="22"/>
    </w:rPr>
  </w:style>
  <w:style w:type="paragraph" w:styleId="14">
    <w:name w:val="caption"/>
    <w:basedOn w:val="1"/>
    <w:next w:val="1"/>
    <w:qFormat/>
    <w:uiPriority w:val="0"/>
    <w:pPr>
      <w:spacing w:line="360" w:lineRule="auto"/>
    </w:pPr>
    <w:rPr>
      <w:rFonts w:ascii="Arial" w:hAnsi="Arial" w:eastAsia="黑体" w:cs="Arial"/>
      <w:sz w:val="20"/>
      <w:szCs w:val="20"/>
    </w:rPr>
  </w:style>
  <w:style w:type="paragraph" w:styleId="15">
    <w:name w:val="List Bullet"/>
    <w:basedOn w:val="1"/>
    <w:qFormat/>
    <w:uiPriority w:val="0"/>
    <w:pPr>
      <w:tabs>
        <w:tab w:val="left" w:pos="360"/>
        <w:tab w:val="left" w:pos="1320"/>
      </w:tabs>
      <w:spacing w:line="360" w:lineRule="auto"/>
      <w:ind w:left="1320" w:hanging="420"/>
    </w:pPr>
    <w:rPr>
      <w:sz w:val="24"/>
    </w:rPr>
  </w:style>
  <w:style w:type="paragraph" w:styleId="16">
    <w:name w:val="Document Map"/>
    <w:basedOn w:val="1"/>
    <w:qFormat/>
    <w:uiPriority w:val="0"/>
    <w:pPr>
      <w:shd w:val="clear" w:color="auto" w:fill="000080"/>
    </w:pPr>
  </w:style>
  <w:style w:type="paragraph" w:styleId="17">
    <w:name w:val="annotation text"/>
    <w:basedOn w:val="1"/>
    <w:link w:val="131"/>
    <w:qFormat/>
    <w:uiPriority w:val="0"/>
    <w:pPr>
      <w:spacing w:line="360" w:lineRule="auto"/>
      <w:jc w:val="left"/>
    </w:pPr>
    <w:rPr>
      <w:sz w:val="24"/>
    </w:rPr>
  </w:style>
  <w:style w:type="paragraph" w:styleId="18">
    <w:name w:val="Body Text 3"/>
    <w:basedOn w:val="1"/>
    <w:link w:val="307"/>
    <w:qFormat/>
    <w:uiPriority w:val="0"/>
    <w:pPr>
      <w:widowControl/>
      <w:spacing w:after="120"/>
      <w:jc w:val="left"/>
    </w:pPr>
    <w:rPr>
      <w:kern w:val="0"/>
      <w:sz w:val="16"/>
      <w:szCs w:val="16"/>
    </w:rPr>
  </w:style>
  <w:style w:type="paragraph" w:styleId="19">
    <w:name w:val="Body Text Indent"/>
    <w:basedOn w:val="1"/>
    <w:link w:val="123"/>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0">
    <w:name w:val="List Bullet 2"/>
    <w:basedOn w:val="1"/>
    <w:qFormat/>
    <w:uiPriority w:val="0"/>
    <w:pPr>
      <w:numPr>
        <w:ilvl w:val="0"/>
        <w:numId w:val="2"/>
      </w:numPr>
    </w:pPr>
  </w:style>
  <w:style w:type="paragraph" w:styleId="21">
    <w:name w:val="HTML Address"/>
    <w:basedOn w:val="1"/>
    <w:link w:val="129"/>
    <w:qFormat/>
    <w:uiPriority w:val="0"/>
    <w:pPr>
      <w:numPr>
        <w:ilvl w:val="0"/>
        <w:numId w:val="3"/>
      </w:numPr>
      <w:tabs>
        <w:tab w:val="clear" w:pos="432"/>
      </w:tabs>
      <w:ind w:left="0" w:firstLine="0"/>
    </w:pPr>
    <w:rPr>
      <w:i/>
    </w:rPr>
  </w:style>
  <w:style w:type="paragraph" w:styleId="22">
    <w:name w:val="toc 5"/>
    <w:basedOn w:val="1"/>
    <w:next w:val="1"/>
    <w:qFormat/>
    <w:uiPriority w:val="0"/>
    <w:pPr>
      <w:ind w:left="800" w:leftChars="800"/>
    </w:pPr>
    <w:rPr>
      <w:rFonts w:ascii="Calibri" w:hAnsi="Calibri"/>
      <w:szCs w:val="22"/>
    </w:rPr>
  </w:style>
  <w:style w:type="paragraph" w:styleId="23">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4">
    <w:name w:val="Plain Text"/>
    <w:basedOn w:val="1"/>
    <w:link w:val="74"/>
    <w:qFormat/>
    <w:uiPriority w:val="0"/>
    <w:rPr>
      <w:rFonts w:ascii="宋体" w:hAnsi="Courier New"/>
      <w:szCs w:val="20"/>
    </w:rPr>
  </w:style>
  <w:style w:type="paragraph" w:styleId="25">
    <w:name w:val="toc 8"/>
    <w:basedOn w:val="1"/>
    <w:next w:val="1"/>
    <w:qFormat/>
    <w:uiPriority w:val="0"/>
    <w:pPr>
      <w:ind w:left="1400" w:leftChars="1400"/>
    </w:pPr>
    <w:rPr>
      <w:rFonts w:ascii="Calibri" w:hAnsi="Calibri"/>
      <w:szCs w:val="22"/>
    </w:rPr>
  </w:style>
  <w:style w:type="paragraph" w:styleId="26">
    <w:name w:val="Date"/>
    <w:basedOn w:val="1"/>
    <w:next w:val="1"/>
    <w:link w:val="63"/>
    <w:qFormat/>
    <w:uiPriority w:val="0"/>
    <w:pPr>
      <w:numPr>
        <w:ilvl w:val="0"/>
        <w:numId w:val="4"/>
      </w:numPr>
      <w:ind w:left="100" w:leftChars="2500"/>
    </w:pPr>
  </w:style>
  <w:style w:type="paragraph" w:styleId="27">
    <w:name w:val="Body Text Indent 2"/>
    <w:basedOn w:val="1"/>
    <w:link w:val="71"/>
    <w:qFormat/>
    <w:uiPriority w:val="0"/>
    <w:pPr>
      <w:spacing w:line="480" w:lineRule="exact"/>
      <w:ind w:left="810" w:firstLine="675"/>
    </w:pPr>
    <w:rPr>
      <w:rFonts w:eastAsia="仿宋_GB2312"/>
      <w:sz w:val="30"/>
      <w:szCs w:val="20"/>
    </w:rPr>
  </w:style>
  <w:style w:type="paragraph" w:styleId="28">
    <w:name w:val="Balloon Text"/>
    <w:basedOn w:val="1"/>
    <w:link w:val="86"/>
    <w:qFormat/>
    <w:uiPriority w:val="0"/>
    <w:rPr>
      <w:sz w:val="18"/>
      <w:szCs w:val="18"/>
    </w:rPr>
  </w:style>
  <w:style w:type="paragraph" w:styleId="29">
    <w:name w:val="footer"/>
    <w:basedOn w:val="1"/>
    <w:link w:val="132"/>
    <w:qFormat/>
    <w:uiPriority w:val="0"/>
    <w:pPr>
      <w:tabs>
        <w:tab w:val="center" w:pos="4153"/>
        <w:tab w:val="right" w:pos="8306"/>
      </w:tabs>
      <w:snapToGrid w:val="0"/>
      <w:jc w:val="left"/>
    </w:pPr>
    <w:rPr>
      <w:sz w:val="18"/>
      <w:szCs w:val="20"/>
    </w:rPr>
  </w:style>
  <w:style w:type="paragraph" w:styleId="30">
    <w:name w:val="header"/>
    <w:basedOn w:val="1"/>
    <w:link w:val="124"/>
    <w:qFormat/>
    <w:uiPriority w:val="99"/>
    <w:pPr>
      <w:pBdr>
        <w:bottom w:val="single" w:color="auto" w:sz="6" w:space="1"/>
      </w:pBdr>
      <w:tabs>
        <w:tab w:val="center" w:pos="4153"/>
        <w:tab w:val="right" w:pos="8306"/>
      </w:tabs>
      <w:snapToGrid w:val="0"/>
      <w:jc w:val="center"/>
    </w:pPr>
    <w:rPr>
      <w:sz w:val="18"/>
      <w:szCs w:val="20"/>
    </w:rPr>
  </w:style>
  <w:style w:type="paragraph" w:styleId="31">
    <w:name w:val="toc 1"/>
    <w:basedOn w:val="1"/>
    <w:next w:val="1"/>
    <w:qFormat/>
    <w:uiPriority w:val="39"/>
    <w:pPr>
      <w:tabs>
        <w:tab w:val="right" w:leader="dot" w:pos="8949"/>
      </w:tabs>
      <w:spacing w:before="120" w:after="120"/>
      <w:jc w:val="left"/>
    </w:pPr>
    <w:rPr>
      <w:b/>
      <w:bCs/>
      <w:caps/>
      <w:szCs w:val="21"/>
    </w:rPr>
  </w:style>
  <w:style w:type="paragraph" w:styleId="32">
    <w:name w:val="toc 4"/>
    <w:basedOn w:val="1"/>
    <w:next w:val="1"/>
    <w:qFormat/>
    <w:uiPriority w:val="0"/>
    <w:pPr>
      <w:ind w:left="600" w:leftChars="600"/>
    </w:pPr>
    <w:rPr>
      <w:rFonts w:ascii="Calibri" w:hAnsi="Calibri"/>
      <w:szCs w:val="22"/>
    </w:rPr>
  </w:style>
  <w:style w:type="paragraph" w:styleId="33">
    <w:name w:val="index heading"/>
    <w:basedOn w:val="1"/>
    <w:next w:val="34"/>
    <w:qFormat/>
    <w:uiPriority w:val="0"/>
    <w:rPr>
      <w:szCs w:val="20"/>
    </w:rPr>
  </w:style>
  <w:style w:type="paragraph" w:styleId="34">
    <w:name w:val="index 1"/>
    <w:basedOn w:val="1"/>
    <w:next w:val="1"/>
    <w:qFormat/>
    <w:uiPriority w:val="0"/>
  </w:style>
  <w:style w:type="paragraph" w:styleId="35">
    <w:name w:val="List"/>
    <w:basedOn w:val="1"/>
    <w:qFormat/>
    <w:uiPriority w:val="0"/>
    <w:pPr>
      <w:ind w:left="200" w:hanging="200" w:hangingChars="200"/>
    </w:pPr>
  </w:style>
  <w:style w:type="paragraph" w:styleId="36">
    <w:name w:val="toc 6"/>
    <w:basedOn w:val="1"/>
    <w:next w:val="1"/>
    <w:qFormat/>
    <w:uiPriority w:val="0"/>
    <w:pPr>
      <w:ind w:left="1000" w:leftChars="1000"/>
    </w:pPr>
    <w:rPr>
      <w:rFonts w:ascii="Calibri" w:hAnsi="Calibri"/>
      <w:szCs w:val="22"/>
    </w:rPr>
  </w:style>
  <w:style w:type="paragraph" w:styleId="37">
    <w:name w:val="Body Text Indent 3"/>
    <w:basedOn w:val="1"/>
    <w:link w:val="72"/>
    <w:qFormat/>
    <w:uiPriority w:val="0"/>
    <w:pPr>
      <w:widowControl/>
      <w:tabs>
        <w:tab w:val="left" w:pos="502"/>
      </w:tabs>
      <w:adjustRightInd w:val="0"/>
      <w:snapToGrid w:val="0"/>
      <w:spacing w:line="360" w:lineRule="auto"/>
      <w:ind w:left="540" w:leftChars="257"/>
    </w:pPr>
    <w:rPr>
      <w:rFonts w:ascii="宋体" w:hAnsi="宋体"/>
    </w:rPr>
  </w:style>
  <w:style w:type="paragraph" w:styleId="38">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39">
    <w:name w:val="toc 9"/>
    <w:basedOn w:val="1"/>
    <w:next w:val="1"/>
    <w:qFormat/>
    <w:uiPriority w:val="0"/>
    <w:pPr>
      <w:ind w:left="1600" w:leftChars="1600"/>
    </w:pPr>
    <w:rPr>
      <w:rFonts w:ascii="Calibri" w:hAnsi="Calibri"/>
      <w:szCs w:val="22"/>
    </w:rPr>
  </w:style>
  <w:style w:type="paragraph" w:styleId="40">
    <w:name w:val="Body Text 2"/>
    <w:basedOn w:val="1"/>
    <w:link w:val="101"/>
    <w:qFormat/>
    <w:uiPriority w:val="0"/>
    <w:pPr>
      <w:spacing w:line="360" w:lineRule="auto"/>
    </w:pPr>
    <w:rPr>
      <w:rFonts w:ascii="仿宋_GB2312" w:eastAsia="仿宋_GB2312"/>
      <w:sz w:val="32"/>
    </w:rPr>
  </w:style>
  <w:style w:type="paragraph" w:styleId="41">
    <w:name w:val="HTML Preformatted"/>
    <w:basedOn w:val="1"/>
    <w:link w:val="13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2">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3">
    <w:name w:val="index 2"/>
    <w:basedOn w:val="1"/>
    <w:next w:val="1"/>
    <w:qFormat/>
    <w:uiPriority w:val="0"/>
    <w:pPr>
      <w:ind w:left="420" w:hanging="210"/>
      <w:jc w:val="left"/>
    </w:pPr>
    <w:rPr>
      <w:sz w:val="20"/>
      <w:szCs w:val="20"/>
    </w:rPr>
  </w:style>
  <w:style w:type="paragraph" w:styleId="44">
    <w:name w:val="Title"/>
    <w:basedOn w:val="1"/>
    <w:next w:val="1"/>
    <w:link w:val="125"/>
    <w:qFormat/>
    <w:uiPriority w:val="0"/>
    <w:pPr>
      <w:spacing w:before="240" w:after="60"/>
      <w:jc w:val="center"/>
      <w:outlineLvl w:val="0"/>
    </w:pPr>
    <w:rPr>
      <w:rFonts w:ascii="Cambria" w:hAnsi="Cambria"/>
      <w:b/>
      <w:bCs/>
      <w:sz w:val="32"/>
      <w:szCs w:val="32"/>
    </w:rPr>
  </w:style>
  <w:style w:type="paragraph" w:styleId="45">
    <w:name w:val="Body Text First Indent"/>
    <w:basedOn w:val="2"/>
    <w:link w:val="133"/>
    <w:qFormat/>
    <w:uiPriority w:val="0"/>
    <w:pPr>
      <w:ind w:firstLine="100" w:firstLineChars="100"/>
    </w:pPr>
    <w:rPr>
      <w:rFonts w:ascii="Calibri" w:hAnsi="Calibri"/>
      <w:szCs w:val="22"/>
    </w:rPr>
  </w:style>
  <w:style w:type="paragraph" w:styleId="46">
    <w:name w:val="Body Text First Indent 2"/>
    <w:basedOn w:val="19"/>
    <w:link w:val="60"/>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character" w:styleId="49">
    <w:name w:val="Strong"/>
    <w:qFormat/>
    <w:uiPriority w:val="22"/>
    <w:rPr>
      <w:b/>
      <w:bCs/>
    </w:rPr>
  </w:style>
  <w:style w:type="character" w:styleId="50">
    <w:name w:val="page number"/>
    <w:basedOn w:val="48"/>
    <w:qFormat/>
    <w:uiPriority w:val="0"/>
  </w:style>
  <w:style w:type="character" w:styleId="51">
    <w:name w:val="Emphasis"/>
    <w:qFormat/>
    <w:uiPriority w:val="20"/>
    <w:rPr>
      <w:i/>
      <w:iCs/>
    </w:rPr>
  </w:style>
  <w:style w:type="character" w:styleId="52">
    <w:name w:val="Hyperlink"/>
    <w:qFormat/>
    <w:uiPriority w:val="99"/>
    <w:rPr>
      <w:color w:val="0000FF"/>
      <w:u w:val="single"/>
    </w:rPr>
  </w:style>
  <w:style w:type="character" w:styleId="53">
    <w:name w:val="annotation reference"/>
    <w:qFormat/>
    <w:uiPriority w:val="0"/>
    <w:rPr>
      <w:sz w:val="21"/>
      <w:szCs w:val="21"/>
    </w:rPr>
  </w:style>
  <w:style w:type="paragraph" w:customStyle="1" w:styleId="54">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5">
    <w:name w:val="标题 1 Char Char"/>
    <w:qFormat/>
    <w:uiPriority w:val="0"/>
    <w:rPr>
      <w:rFonts w:eastAsia="宋体"/>
      <w:b/>
      <w:bCs/>
      <w:kern w:val="44"/>
      <w:sz w:val="44"/>
      <w:szCs w:val="44"/>
      <w:lang w:val="en-US" w:eastAsia="zh-CN" w:bidi="ar-SA"/>
    </w:rPr>
  </w:style>
  <w:style w:type="character" w:customStyle="1" w:styleId="56">
    <w:name w:val="标题 4 Char Char"/>
    <w:qFormat/>
    <w:uiPriority w:val="0"/>
    <w:rPr>
      <w:rFonts w:ascii="Arial" w:hAnsi="Arial" w:eastAsia="黑体"/>
      <w:b/>
      <w:bCs/>
      <w:kern w:val="2"/>
      <w:sz w:val="28"/>
      <w:szCs w:val="28"/>
      <w:lang w:val="en-US" w:eastAsia="zh-CN" w:bidi="ar-SA"/>
    </w:rPr>
  </w:style>
  <w:style w:type="character" w:customStyle="1" w:styleId="57">
    <w:name w:val="font11"/>
    <w:qFormat/>
    <w:uiPriority w:val="0"/>
    <w:rPr>
      <w:rFonts w:hint="eastAsia" w:ascii="宋体" w:hAnsi="宋体" w:eastAsia="宋体"/>
      <w:color w:val="000000"/>
      <w:sz w:val="24"/>
      <w:szCs w:val="24"/>
      <w:u w:val="none"/>
    </w:rPr>
  </w:style>
  <w:style w:type="character" w:customStyle="1" w:styleId="58">
    <w:name w:val="标题 5 Char Char"/>
    <w:qFormat/>
    <w:uiPriority w:val="0"/>
    <w:rPr>
      <w:rFonts w:eastAsia="宋体"/>
      <w:b/>
      <w:bCs/>
      <w:kern w:val="2"/>
      <w:sz w:val="28"/>
      <w:szCs w:val="28"/>
      <w:lang w:val="en-US" w:eastAsia="zh-CN" w:bidi="ar-SA"/>
    </w:rPr>
  </w:style>
  <w:style w:type="character" w:customStyle="1" w:styleId="59">
    <w:name w:val="ca-5"/>
    <w:basedOn w:val="48"/>
    <w:qFormat/>
    <w:uiPriority w:val="0"/>
  </w:style>
  <w:style w:type="character" w:customStyle="1" w:styleId="60">
    <w:name w:val="正文首行缩进 2 Char"/>
    <w:link w:val="46"/>
    <w:qFormat/>
    <w:uiPriority w:val="0"/>
    <w:rPr>
      <w:rFonts w:ascii="Calibri" w:hAnsi="Calibri" w:eastAsia="仿宋_GB2312"/>
      <w:kern w:val="2"/>
      <w:sz w:val="21"/>
      <w:szCs w:val="22"/>
      <w:lang w:val="en-US" w:eastAsia="zh-CN" w:bidi="ar-SA"/>
    </w:rPr>
  </w:style>
  <w:style w:type="character" w:customStyle="1" w:styleId="61">
    <w:name w:val="已访问的超链接1"/>
    <w:qFormat/>
    <w:uiPriority w:val="0"/>
    <w:rPr>
      <w:color w:val="800080"/>
      <w:u w:val="single"/>
    </w:rPr>
  </w:style>
  <w:style w:type="character" w:customStyle="1" w:styleId="62">
    <w:name w:val="正文首行缩进 Char Char"/>
    <w:qFormat/>
    <w:uiPriority w:val="0"/>
    <w:rPr>
      <w:rFonts w:eastAsia="仿宋_GB2312"/>
      <w:kern w:val="2"/>
      <w:sz w:val="28"/>
      <w:szCs w:val="24"/>
      <w:lang w:bidi="ar-SA"/>
    </w:rPr>
  </w:style>
  <w:style w:type="character" w:customStyle="1" w:styleId="63">
    <w:name w:val="日期 Char"/>
    <w:link w:val="26"/>
    <w:qFormat/>
    <w:uiPriority w:val="0"/>
    <w:rPr>
      <w:kern w:val="2"/>
      <w:sz w:val="21"/>
      <w:szCs w:val="24"/>
    </w:rPr>
  </w:style>
  <w:style w:type="character" w:customStyle="1" w:styleId="64">
    <w:name w:val="正文文本缩进 3 Char Char"/>
    <w:qFormat/>
    <w:uiPriority w:val="0"/>
    <w:rPr>
      <w:kern w:val="2"/>
      <w:sz w:val="16"/>
      <w:szCs w:val="16"/>
      <w:lang w:bidi="ar-SA"/>
    </w:rPr>
  </w:style>
  <w:style w:type="character" w:customStyle="1" w:styleId="65">
    <w:name w:val="文档正文 Char1"/>
    <w:link w:val="66"/>
    <w:qFormat/>
    <w:uiPriority w:val="0"/>
    <w:rPr>
      <w:rFonts w:ascii="Arial Narrow" w:hAnsi="Arial Narrow"/>
      <w:sz w:val="24"/>
      <w:szCs w:val="24"/>
      <w:lang w:val="en-US" w:eastAsia="zh-CN" w:bidi="ar-SA"/>
    </w:rPr>
  </w:style>
  <w:style w:type="paragraph" w:customStyle="1" w:styleId="66">
    <w:name w:val="文档正文"/>
    <w:link w:val="65"/>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7">
    <w:name w:val="正文文本 Char Char"/>
    <w:qFormat/>
    <w:uiPriority w:val="0"/>
    <w:rPr>
      <w:rFonts w:eastAsia="宋体"/>
      <w:kern w:val="2"/>
      <w:sz w:val="21"/>
      <w:szCs w:val="24"/>
      <w:lang w:val="en-US" w:eastAsia="zh-CN" w:bidi="ar-SA"/>
    </w:rPr>
  </w:style>
  <w:style w:type="character" w:customStyle="1" w:styleId="68">
    <w:name w:val="样式 样式 宋体 小四 行距: 1.5 倍行距 + ˎ̥ 黑色 Char Char"/>
    <w:link w:val="69"/>
    <w:qFormat/>
    <w:uiPriority w:val="0"/>
    <w:rPr>
      <w:rFonts w:ascii="Calibri" w:hAnsi="Calibri" w:eastAsia="仿宋_GB2312"/>
      <w:kern w:val="2"/>
      <w:sz w:val="21"/>
      <w:szCs w:val="22"/>
      <w:lang w:val="en-US" w:eastAsia="zh-CN" w:bidi="ar-SA"/>
    </w:rPr>
  </w:style>
  <w:style w:type="paragraph" w:customStyle="1" w:styleId="69">
    <w:name w:val="样式 样式 宋体 小四 行距: 1.5 倍行距 + ˎ̥ 黑色"/>
    <w:basedOn w:val="46"/>
    <w:link w:val="68"/>
    <w:qFormat/>
    <w:uiPriority w:val="0"/>
  </w:style>
  <w:style w:type="character" w:customStyle="1" w:styleId="70">
    <w:name w:val="style71"/>
    <w:qFormat/>
    <w:uiPriority w:val="0"/>
    <w:rPr>
      <w:sz w:val="21"/>
      <w:szCs w:val="21"/>
    </w:rPr>
  </w:style>
  <w:style w:type="character" w:customStyle="1" w:styleId="71">
    <w:name w:val="正文文本缩进 2 Char"/>
    <w:link w:val="27"/>
    <w:qFormat/>
    <w:uiPriority w:val="0"/>
    <w:rPr>
      <w:rFonts w:eastAsia="仿宋_GB2312"/>
      <w:kern w:val="2"/>
      <w:sz w:val="30"/>
      <w:lang w:val="en-US" w:eastAsia="zh-CN" w:bidi="ar-SA"/>
    </w:rPr>
  </w:style>
  <w:style w:type="character" w:customStyle="1" w:styleId="72">
    <w:name w:val="正文文本缩进 3 Char"/>
    <w:link w:val="37"/>
    <w:qFormat/>
    <w:uiPriority w:val="0"/>
    <w:rPr>
      <w:rFonts w:ascii="宋体" w:hAnsi="宋体" w:eastAsia="宋体"/>
      <w:kern w:val="2"/>
      <w:sz w:val="21"/>
      <w:szCs w:val="24"/>
      <w:lang w:val="en-US" w:eastAsia="zh-CN" w:bidi="ar-SA"/>
    </w:rPr>
  </w:style>
  <w:style w:type="character" w:customStyle="1" w:styleId="73">
    <w:name w:val="ca-9"/>
    <w:basedOn w:val="48"/>
    <w:qFormat/>
    <w:uiPriority w:val="0"/>
  </w:style>
  <w:style w:type="character" w:customStyle="1" w:styleId="74">
    <w:name w:val="纯文本 Char"/>
    <w:link w:val="24"/>
    <w:qFormat/>
    <w:uiPriority w:val="0"/>
    <w:rPr>
      <w:rFonts w:ascii="宋体" w:hAnsi="Courier New" w:eastAsia="宋体"/>
      <w:kern w:val="2"/>
      <w:sz w:val="21"/>
      <w:lang w:val="en-US" w:eastAsia="zh-CN" w:bidi="ar-SA"/>
    </w:rPr>
  </w:style>
  <w:style w:type="character" w:customStyle="1" w:styleId="75">
    <w:name w:val="页脚 Char Char"/>
    <w:qFormat/>
    <w:uiPriority w:val="0"/>
    <w:rPr>
      <w:rFonts w:eastAsia="宋体"/>
      <w:sz w:val="18"/>
      <w:szCs w:val="18"/>
      <w:lang w:bidi="ar-SA"/>
    </w:rPr>
  </w:style>
  <w:style w:type="character" w:customStyle="1" w:styleId="76">
    <w:name w:val="正文文本 Char"/>
    <w:link w:val="2"/>
    <w:qFormat/>
    <w:uiPriority w:val="0"/>
    <w:rPr>
      <w:rFonts w:eastAsia="宋体"/>
      <w:kern w:val="2"/>
      <w:sz w:val="21"/>
      <w:szCs w:val="24"/>
      <w:lang w:val="en-US" w:eastAsia="zh-CN" w:bidi="ar-SA"/>
    </w:rPr>
  </w:style>
  <w:style w:type="character" w:customStyle="1" w:styleId="77">
    <w:name w:val="标题 2 Char Char"/>
    <w:qFormat/>
    <w:uiPriority w:val="0"/>
    <w:rPr>
      <w:rFonts w:ascii="Cambria" w:hAnsi="Cambria" w:eastAsia="宋体"/>
      <w:b/>
      <w:bCs/>
      <w:kern w:val="2"/>
      <w:sz w:val="32"/>
      <w:szCs w:val="32"/>
      <w:lang w:val="en-US" w:eastAsia="zh-CN" w:bidi="ar-SA"/>
    </w:rPr>
  </w:style>
  <w:style w:type="character" w:customStyle="1" w:styleId="78">
    <w:name w:val="标题 1 1 Char"/>
    <w:qFormat/>
    <w:uiPriority w:val="0"/>
    <w:rPr>
      <w:rFonts w:ascii="黑体" w:eastAsia="黑体"/>
      <w:bCs/>
      <w:kern w:val="44"/>
      <w:sz w:val="24"/>
      <w:lang w:val="en-US" w:eastAsia="zh-CN" w:bidi="ar-SA"/>
    </w:rPr>
  </w:style>
  <w:style w:type="character" w:customStyle="1" w:styleId="79">
    <w:name w:val="Char Char14"/>
    <w:qFormat/>
    <w:uiPriority w:val="0"/>
    <w:rPr>
      <w:rFonts w:ascii="宋体" w:eastAsia="宋体"/>
      <w:sz w:val="34"/>
      <w:lang w:val="en-US" w:eastAsia="zh-CN" w:bidi="ar-SA"/>
    </w:rPr>
  </w:style>
  <w:style w:type="character" w:customStyle="1" w:styleId="80">
    <w:name w:val="content"/>
    <w:qFormat/>
    <w:uiPriority w:val="0"/>
  </w:style>
  <w:style w:type="character" w:customStyle="1" w:styleId="81">
    <w:name w:val="Char Char5"/>
    <w:qFormat/>
    <w:uiPriority w:val="0"/>
    <w:rPr>
      <w:rFonts w:eastAsia="宋体"/>
      <w:kern w:val="2"/>
      <w:sz w:val="18"/>
      <w:lang w:val="en-US" w:eastAsia="zh-CN" w:bidi="ar-SA"/>
    </w:rPr>
  </w:style>
  <w:style w:type="character" w:customStyle="1" w:styleId="82">
    <w:name w:val="c_666"/>
    <w:basedOn w:val="48"/>
    <w:qFormat/>
    <w:uiPriority w:val="0"/>
  </w:style>
  <w:style w:type="character" w:customStyle="1" w:styleId="83">
    <w:name w:val="ALT+Z Char"/>
    <w:qFormat/>
    <w:uiPriority w:val="0"/>
    <w:rPr>
      <w:rFonts w:ascii="宋体"/>
      <w:sz w:val="34"/>
    </w:rPr>
  </w:style>
  <w:style w:type="character" w:customStyle="1" w:styleId="84">
    <w:name w:val="正文（缩进） Char Char"/>
    <w:link w:val="85"/>
    <w:qFormat/>
    <w:uiPriority w:val="0"/>
    <w:rPr>
      <w:rFonts w:eastAsia="宋体"/>
      <w:kern w:val="2"/>
      <w:sz w:val="24"/>
      <w:szCs w:val="24"/>
      <w:lang w:val="en-US" w:eastAsia="zh-CN" w:bidi="ar-SA"/>
    </w:rPr>
  </w:style>
  <w:style w:type="paragraph" w:customStyle="1" w:styleId="85">
    <w:name w:val="正文（缩进）"/>
    <w:basedOn w:val="1"/>
    <w:link w:val="84"/>
    <w:qFormat/>
    <w:uiPriority w:val="0"/>
    <w:pPr>
      <w:spacing w:beforeLines="50" w:afterLines="50" w:line="360" w:lineRule="auto"/>
      <w:ind w:firstLine="480" w:firstLineChars="200"/>
    </w:pPr>
    <w:rPr>
      <w:sz w:val="24"/>
    </w:rPr>
  </w:style>
  <w:style w:type="character" w:customStyle="1" w:styleId="86">
    <w:name w:val="批注框文本 Char"/>
    <w:link w:val="28"/>
    <w:qFormat/>
    <w:uiPriority w:val="0"/>
    <w:rPr>
      <w:rFonts w:eastAsia="宋体"/>
      <w:kern w:val="2"/>
      <w:sz w:val="18"/>
      <w:szCs w:val="18"/>
      <w:lang w:val="en-US" w:eastAsia="zh-CN" w:bidi="ar-SA"/>
    </w:rPr>
  </w:style>
  <w:style w:type="character" w:customStyle="1" w:styleId="87">
    <w:name w:val="表格内容"/>
    <w:qFormat/>
    <w:uiPriority w:val="0"/>
    <w:rPr>
      <w:sz w:val="24"/>
    </w:rPr>
  </w:style>
  <w:style w:type="character" w:customStyle="1" w:styleId="88">
    <w:name w:val="ca-8"/>
    <w:basedOn w:val="48"/>
    <w:qFormat/>
    <w:uiPriority w:val="0"/>
  </w:style>
  <w:style w:type="character" w:customStyle="1" w:styleId="89">
    <w:name w:val="不明显参考1"/>
    <w:qFormat/>
    <w:uiPriority w:val="0"/>
    <w:rPr>
      <w:smallCaps/>
      <w:color w:val="C0504D"/>
      <w:u w:val="single"/>
    </w:rPr>
  </w:style>
  <w:style w:type="character" w:customStyle="1" w:styleId="90">
    <w:name w:val="标题 9 Char"/>
    <w:link w:val="12"/>
    <w:qFormat/>
    <w:uiPriority w:val="0"/>
    <w:rPr>
      <w:rFonts w:ascii="Arial" w:hAnsi="Arial" w:eastAsia="黑体"/>
      <w:kern w:val="2"/>
      <w:sz w:val="21"/>
      <w:lang w:val="en-US" w:eastAsia="zh-CN" w:bidi="ar-SA"/>
    </w:rPr>
  </w:style>
  <w:style w:type="character" w:customStyle="1" w:styleId="91">
    <w:name w:val="标题 6 Char"/>
    <w:link w:val="9"/>
    <w:qFormat/>
    <w:uiPriority w:val="0"/>
    <w:rPr>
      <w:rFonts w:ascii="Arial" w:hAnsi="Arial" w:eastAsia="黑体"/>
      <w:b/>
      <w:kern w:val="2"/>
      <w:sz w:val="24"/>
      <w:lang w:val="en-US" w:eastAsia="zh-CN" w:bidi="ar-SA"/>
    </w:rPr>
  </w:style>
  <w:style w:type="character" w:customStyle="1" w:styleId="92">
    <w:name w:val="ca-10"/>
    <w:basedOn w:val="48"/>
    <w:qFormat/>
    <w:uiPriority w:val="0"/>
  </w:style>
  <w:style w:type="character" w:customStyle="1" w:styleId="93">
    <w:name w:val="标题 4 Char"/>
    <w:link w:val="7"/>
    <w:qFormat/>
    <w:uiPriority w:val="0"/>
    <w:rPr>
      <w:rFonts w:ascii="Arial" w:hAnsi="Arial" w:eastAsia="黑体"/>
      <w:b/>
      <w:kern w:val="2"/>
      <w:sz w:val="28"/>
      <w:lang w:val="en-US" w:eastAsia="zh-CN" w:bidi="ar-SA"/>
    </w:rPr>
  </w:style>
  <w:style w:type="character" w:customStyle="1" w:styleId="94">
    <w:name w:val="批注文字 Char Char"/>
    <w:qFormat/>
    <w:uiPriority w:val="0"/>
    <w:rPr>
      <w:kern w:val="2"/>
      <w:sz w:val="21"/>
      <w:lang w:bidi="ar-SA"/>
    </w:rPr>
  </w:style>
  <w:style w:type="character" w:customStyle="1" w:styleId="95">
    <w:name w:val="style18"/>
    <w:qFormat/>
    <w:uiPriority w:val="0"/>
  </w:style>
  <w:style w:type="character" w:customStyle="1" w:styleId="96">
    <w:name w:val="font21"/>
    <w:qFormat/>
    <w:uiPriority w:val="0"/>
    <w:rPr>
      <w:rFonts w:hint="default" w:ascii="Arial" w:hAnsi="Arial" w:cs="Arial"/>
      <w:color w:val="000000"/>
      <w:sz w:val="24"/>
      <w:szCs w:val="24"/>
      <w:u w:val="none"/>
    </w:rPr>
  </w:style>
  <w:style w:type="character" w:customStyle="1" w:styleId="97">
    <w:name w:val="ca-11"/>
    <w:basedOn w:val="48"/>
    <w:qFormat/>
    <w:uiPriority w:val="0"/>
  </w:style>
  <w:style w:type="character" w:customStyle="1" w:styleId="98">
    <w:name w:val="标题 8 Char"/>
    <w:link w:val="11"/>
    <w:qFormat/>
    <w:uiPriority w:val="0"/>
    <w:rPr>
      <w:rFonts w:ascii="Arial" w:hAnsi="Arial" w:eastAsia="黑体"/>
      <w:kern w:val="2"/>
      <w:sz w:val="24"/>
      <w:lang w:val="en-US" w:eastAsia="zh-CN" w:bidi="ar-SA"/>
    </w:rPr>
  </w:style>
  <w:style w:type="character" w:customStyle="1" w:styleId="99">
    <w:name w:val="类目1 Char Char"/>
    <w:link w:val="100"/>
    <w:qFormat/>
    <w:uiPriority w:val="0"/>
    <w:rPr>
      <w:b/>
      <w:color w:val="17365D"/>
      <w:kern w:val="2"/>
      <w:sz w:val="28"/>
      <w:szCs w:val="28"/>
      <w:lang w:bidi="ar-SA"/>
    </w:rPr>
  </w:style>
  <w:style w:type="paragraph" w:customStyle="1" w:styleId="100">
    <w:name w:val="类目1"/>
    <w:basedOn w:val="1"/>
    <w:link w:val="99"/>
    <w:qFormat/>
    <w:uiPriority w:val="0"/>
    <w:pPr>
      <w:adjustRightInd w:val="0"/>
      <w:snapToGrid w:val="0"/>
      <w:spacing w:line="220" w:lineRule="atLeast"/>
    </w:pPr>
    <w:rPr>
      <w:b/>
      <w:color w:val="17365D"/>
      <w:sz w:val="28"/>
      <w:szCs w:val="28"/>
    </w:rPr>
  </w:style>
  <w:style w:type="character" w:customStyle="1" w:styleId="101">
    <w:name w:val="正文文本 2 Char"/>
    <w:link w:val="40"/>
    <w:qFormat/>
    <w:uiPriority w:val="0"/>
    <w:rPr>
      <w:rFonts w:ascii="仿宋_GB2312" w:eastAsia="仿宋_GB2312"/>
      <w:kern w:val="2"/>
      <w:sz w:val="32"/>
      <w:szCs w:val="24"/>
      <w:lang w:val="en-US" w:eastAsia="zh-CN" w:bidi="ar-SA"/>
    </w:rPr>
  </w:style>
  <w:style w:type="character" w:customStyle="1" w:styleId="102">
    <w:name w:val="标题 2 Char1"/>
    <w:link w:val="4"/>
    <w:qFormat/>
    <w:uiPriority w:val="0"/>
    <w:rPr>
      <w:rFonts w:ascii="黑体" w:hAnsi="宋体" w:eastAsia="黑体"/>
      <w:bCs/>
      <w:kern w:val="44"/>
      <w:sz w:val="21"/>
      <w:szCs w:val="24"/>
    </w:rPr>
  </w:style>
  <w:style w:type="character" w:customStyle="1" w:styleId="103">
    <w:name w:val="lineitems1"/>
    <w:qFormat/>
    <w:uiPriority w:val="0"/>
    <w:rPr>
      <w:sz w:val="17"/>
      <w:szCs w:val="17"/>
    </w:rPr>
  </w:style>
  <w:style w:type="character" w:customStyle="1" w:styleId="104">
    <w:name w:val="题注 Char1"/>
    <w:qFormat/>
    <w:uiPriority w:val="0"/>
    <w:rPr>
      <w:rFonts w:ascii="Arial" w:hAnsi="Arial" w:eastAsia="宋体" w:cs="Arial"/>
      <w:kern w:val="2"/>
      <w:lang w:val="en-US" w:eastAsia="zh-CN" w:bidi="ar-SA"/>
    </w:rPr>
  </w:style>
  <w:style w:type="character" w:customStyle="1" w:styleId="105">
    <w:name w:val="标题 3 Char Char"/>
    <w:qFormat/>
    <w:uiPriority w:val="0"/>
    <w:rPr>
      <w:rFonts w:eastAsia="宋体"/>
      <w:b/>
      <w:bCs/>
      <w:kern w:val="2"/>
      <w:sz w:val="32"/>
      <w:szCs w:val="32"/>
      <w:lang w:val="en-US" w:eastAsia="zh-CN" w:bidi="ar-SA"/>
    </w:rPr>
  </w:style>
  <w:style w:type="character" w:customStyle="1" w:styleId="106">
    <w:name w:val="标题 5 Char"/>
    <w:link w:val="8"/>
    <w:qFormat/>
    <w:uiPriority w:val="0"/>
    <w:rPr>
      <w:rFonts w:eastAsia="宋体"/>
      <w:b/>
      <w:kern w:val="2"/>
      <w:sz w:val="28"/>
      <w:lang w:val="en-US" w:eastAsia="zh-CN" w:bidi="ar-SA"/>
    </w:rPr>
  </w:style>
  <w:style w:type="character" w:customStyle="1" w:styleId="107">
    <w:name w:val="p12"/>
    <w:basedOn w:val="48"/>
    <w:qFormat/>
    <w:uiPriority w:val="0"/>
  </w:style>
  <w:style w:type="character" w:customStyle="1" w:styleId="108">
    <w:name w:val="正文缩进 Char2"/>
    <w:link w:val="109"/>
    <w:qFormat/>
    <w:uiPriority w:val="0"/>
    <w:rPr>
      <w:rFonts w:ascii="宋体" w:eastAsia="宋体"/>
      <w:sz w:val="34"/>
      <w:lang w:bidi="ar-SA"/>
    </w:rPr>
  </w:style>
  <w:style w:type="paragraph" w:customStyle="1" w:styleId="109">
    <w:name w:val="Normal Indent1"/>
    <w:basedOn w:val="1"/>
    <w:link w:val="108"/>
    <w:qFormat/>
    <w:uiPriority w:val="0"/>
    <w:pPr>
      <w:autoSpaceDE w:val="0"/>
      <w:autoSpaceDN w:val="0"/>
      <w:adjustRightInd w:val="0"/>
      <w:ind w:firstLine="420"/>
      <w:jc w:val="left"/>
      <w:textAlignment w:val="baseline"/>
    </w:pPr>
    <w:rPr>
      <w:rFonts w:ascii="宋体"/>
      <w:kern w:val="0"/>
      <w:sz w:val="34"/>
      <w:szCs w:val="20"/>
    </w:rPr>
  </w:style>
  <w:style w:type="character" w:customStyle="1" w:styleId="110">
    <w:name w:val="标题 9 Char Char"/>
    <w:qFormat/>
    <w:uiPriority w:val="0"/>
    <w:rPr>
      <w:rFonts w:ascii="Arial" w:hAnsi="Arial" w:eastAsia="黑体"/>
      <w:kern w:val="2"/>
      <w:sz w:val="21"/>
      <w:szCs w:val="21"/>
      <w:lang w:val="en-US" w:eastAsia="zh-CN" w:bidi="ar-SA"/>
    </w:rPr>
  </w:style>
  <w:style w:type="character" w:customStyle="1" w:styleId="111">
    <w:name w:val="标题 7 Char"/>
    <w:link w:val="10"/>
    <w:qFormat/>
    <w:uiPriority w:val="0"/>
    <w:rPr>
      <w:rFonts w:eastAsia="宋体"/>
      <w:b/>
      <w:kern w:val="2"/>
      <w:sz w:val="24"/>
      <w:lang w:val="en-US" w:eastAsia="zh-CN" w:bidi="ar-SA"/>
    </w:rPr>
  </w:style>
  <w:style w:type="character" w:customStyle="1" w:styleId="112">
    <w:name w:val="flname7"/>
    <w:basedOn w:val="48"/>
    <w:qFormat/>
    <w:uiPriority w:val="0"/>
  </w:style>
  <w:style w:type="character" w:customStyle="1" w:styleId="113">
    <w:name w:val="正文缩进 Char"/>
    <w:link w:val="5"/>
    <w:qFormat/>
    <w:uiPriority w:val="0"/>
    <w:rPr>
      <w:rFonts w:ascii="宋体" w:eastAsia="宋体"/>
      <w:sz w:val="34"/>
      <w:lang w:val="en-US" w:eastAsia="zh-CN" w:bidi="ar-SA"/>
    </w:rPr>
  </w:style>
  <w:style w:type="character" w:customStyle="1" w:styleId="114">
    <w:name w:val="样式5 Char Char"/>
    <w:link w:val="115"/>
    <w:qFormat/>
    <w:uiPriority w:val="0"/>
    <w:rPr>
      <w:rFonts w:ascii="宋体" w:hAnsi="宋体" w:eastAsia="宋体" w:cs="Arial"/>
      <w:b/>
      <w:kern w:val="2"/>
      <w:sz w:val="24"/>
      <w:szCs w:val="24"/>
      <w:lang w:val="en-US" w:eastAsia="zh-CN" w:bidi="ar-SA"/>
    </w:rPr>
  </w:style>
  <w:style w:type="paragraph" w:customStyle="1" w:styleId="115">
    <w:name w:val="样式5"/>
    <w:basedOn w:val="1"/>
    <w:link w:val="114"/>
    <w:qFormat/>
    <w:uiPriority w:val="0"/>
    <w:pPr>
      <w:spacing w:line="400" w:lineRule="exact"/>
      <w:ind w:left="482"/>
    </w:pPr>
    <w:rPr>
      <w:rFonts w:ascii="宋体" w:hAnsi="宋体" w:cs="Arial"/>
      <w:b/>
      <w:sz w:val="24"/>
    </w:rPr>
  </w:style>
  <w:style w:type="character" w:customStyle="1" w:styleId="116">
    <w:name w:val="text1"/>
    <w:qFormat/>
    <w:uiPriority w:val="0"/>
    <w:rPr>
      <w:sz w:val="20"/>
      <w:szCs w:val="20"/>
    </w:rPr>
  </w:style>
  <w:style w:type="character" w:customStyle="1" w:styleId="117">
    <w:name w:val="样式2"/>
    <w:qFormat/>
    <w:uiPriority w:val="0"/>
    <w:rPr>
      <w:rFonts w:eastAsia="华文楷体"/>
      <w:b/>
      <w:sz w:val="32"/>
    </w:rPr>
  </w:style>
  <w:style w:type="character" w:customStyle="1" w:styleId="118">
    <w:name w:val="页眉 Char Char"/>
    <w:qFormat/>
    <w:uiPriority w:val="0"/>
    <w:rPr>
      <w:rFonts w:eastAsia="宋体"/>
      <w:sz w:val="18"/>
      <w:szCs w:val="18"/>
      <w:lang w:bidi="ar-SA"/>
    </w:rPr>
  </w:style>
  <w:style w:type="character" w:customStyle="1" w:styleId="119">
    <w:name w:val="标题 3 Char"/>
    <w:link w:val="6"/>
    <w:qFormat/>
    <w:uiPriority w:val="0"/>
    <w:rPr>
      <w:rFonts w:ascii="黑体" w:eastAsia="黑体"/>
      <w:bCs/>
      <w:color w:val="000000"/>
      <w:kern w:val="2"/>
      <w:sz w:val="21"/>
      <w:szCs w:val="24"/>
    </w:rPr>
  </w:style>
  <w:style w:type="character" w:customStyle="1" w:styleId="120">
    <w:name w:val="书籍标题3 Char1"/>
    <w:link w:val="121"/>
    <w:qFormat/>
    <w:uiPriority w:val="0"/>
    <w:rPr>
      <w:b/>
      <w:bCs/>
      <w:spacing w:val="20"/>
      <w:kern w:val="2"/>
      <w:sz w:val="28"/>
      <w:szCs w:val="28"/>
    </w:rPr>
  </w:style>
  <w:style w:type="paragraph" w:customStyle="1" w:styleId="121">
    <w:name w:val="书籍标题3"/>
    <w:basedOn w:val="122"/>
    <w:link w:val="120"/>
    <w:qFormat/>
    <w:uiPriority w:val="0"/>
    <w:pPr>
      <w:numPr>
        <w:ilvl w:val="2"/>
      </w:numPr>
      <w:tabs>
        <w:tab w:val="left" w:pos="840"/>
      </w:tabs>
      <w:outlineLvl w:val="2"/>
    </w:pPr>
    <w:rPr>
      <w:rFonts w:cs="Times New Roman"/>
      <w:sz w:val="28"/>
      <w:szCs w:val="28"/>
    </w:rPr>
  </w:style>
  <w:style w:type="paragraph" w:customStyle="1" w:styleId="122">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23">
    <w:name w:val="正文文本缩进 Char"/>
    <w:link w:val="19"/>
    <w:qFormat/>
    <w:uiPriority w:val="0"/>
    <w:rPr>
      <w:rFonts w:ascii="仿宋_GB2312" w:eastAsia="仿宋_GB2312"/>
      <w:sz w:val="28"/>
      <w:lang w:val="en-US" w:eastAsia="zh-CN" w:bidi="ar-SA"/>
    </w:rPr>
  </w:style>
  <w:style w:type="character" w:customStyle="1" w:styleId="124">
    <w:name w:val="页眉 Char"/>
    <w:link w:val="30"/>
    <w:qFormat/>
    <w:uiPriority w:val="99"/>
    <w:rPr>
      <w:rFonts w:eastAsia="宋体"/>
      <w:kern w:val="2"/>
      <w:sz w:val="18"/>
      <w:lang w:val="en-US" w:eastAsia="zh-CN" w:bidi="ar-SA"/>
    </w:rPr>
  </w:style>
  <w:style w:type="character" w:customStyle="1" w:styleId="125">
    <w:name w:val="标题 Char"/>
    <w:link w:val="44"/>
    <w:qFormat/>
    <w:uiPriority w:val="0"/>
    <w:rPr>
      <w:rFonts w:ascii="Cambria" w:hAnsi="Cambria"/>
      <w:b/>
      <w:bCs/>
      <w:kern w:val="2"/>
      <w:sz w:val="32"/>
      <w:szCs w:val="32"/>
    </w:rPr>
  </w:style>
  <w:style w:type="character" w:customStyle="1" w:styleId="126">
    <w:name w:val="标题 8 Char Char"/>
    <w:qFormat/>
    <w:uiPriority w:val="0"/>
    <w:rPr>
      <w:rFonts w:ascii="Arial" w:hAnsi="Arial" w:eastAsia="黑体"/>
      <w:kern w:val="2"/>
      <w:sz w:val="24"/>
      <w:szCs w:val="24"/>
      <w:lang w:val="en-US" w:eastAsia="zh-CN" w:bidi="ar-SA"/>
    </w:rPr>
  </w:style>
  <w:style w:type="character" w:customStyle="1" w:styleId="127">
    <w:name w:val="正文文本缩进 2 Char Char"/>
    <w:qFormat/>
    <w:uiPriority w:val="0"/>
    <w:rPr>
      <w:rFonts w:eastAsia="仿宋_GB2312"/>
      <w:sz w:val="30"/>
      <w:lang w:bidi="ar-SA"/>
    </w:rPr>
  </w:style>
  <w:style w:type="character" w:customStyle="1" w:styleId="128">
    <w:name w:val="标题 7 Char Char"/>
    <w:qFormat/>
    <w:uiPriority w:val="0"/>
    <w:rPr>
      <w:rFonts w:eastAsia="宋体"/>
      <w:b/>
      <w:bCs/>
      <w:kern w:val="2"/>
      <w:sz w:val="24"/>
      <w:szCs w:val="24"/>
      <w:lang w:val="en-US" w:eastAsia="zh-CN" w:bidi="ar-SA"/>
    </w:rPr>
  </w:style>
  <w:style w:type="character" w:customStyle="1" w:styleId="129">
    <w:name w:val="HTML 地址 Char"/>
    <w:link w:val="21"/>
    <w:qFormat/>
    <w:uiPriority w:val="0"/>
    <w:rPr>
      <w:i/>
      <w:kern w:val="2"/>
      <w:sz w:val="21"/>
      <w:szCs w:val="24"/>
    </w:rPr>
  </w:style>
  <w:style w:type="character" w:customStyle="1" w:styleId="130">
    <w:name w:val="标题 1 Char"/>
    <w:link w:val="3"/>
    <w:qFormat/>
    <w:uiPriority w:val="0"/>
    <w:rPr>
      <w:rFonts w:ascii="黑体" w:eastAsia="黑体"/>
      <w:bCs/>
      <w:kern w:val="44"/>
      <w:sz w:val="24"/>
      <w:szCs w:val="24"/>
    </w:rPr>
  </w:style>
  <w:style w:type="character" w:customStyle="1" w:styleId="131">
    <w:name w:val="批注文字 Char"/>
    <w:link w:val="17"/>
    <w:qFormat/>
    <w:uiPriority w:val="0"/>
    <w:rPr>
      <w:kern w:val="2"/>
      <w:sz w:val="24"/>
      <w:szCs w:val="24"/>
    </w:rPr>
  </w:style>
  <w:style w:type="character" w:customStyle="1" w:styleId="132">
    <w:name w:val="页脚 Char"/>
    <w:link w:val="29"/>
    <w:qFormat/>
    <w:uiPriority w:val="0"/>
    <w:rPr>
      <w:rFonts w:eastAsia="宋体"/>
      <w:kern w:val="2"/>
      <w:sz w:val="18"/>
      <w:lang w:val="en-US" w:eastAsia="zh-CN" w:bidi="ar-SA"/>
    </w:rPr>
  </w:style>
  <w:style w:type="character" w:customStyle="1" w:styleId="133">
    <w:name w:val="正文首行缩进 Char"/>
    <w:link w:val="45"/>
    <w:qFormat/>
    <w:uiPriority w:val="0"/>
    <w:rPr>
      <w:rFonts w:ascii="Calibri" w:hAnsi="Calibri" w:eastAsia="宋体"/>
      <w:kern w:val="2"/>
      <w:sz w:val="21"/>
      <w:szCs w:val="22"/>
      <w:lang w:val="en-US" w:eastAsia="zh-CN" w:bidi="ar-SA"/>
    </w:rPr>
  </w:style>
  <w:style w:type="character" w:customStyle="1" w:styleId="134">
    <w:name w:val="纯文本 Char Char"/>
    <w:qFormat/>
    <w:uiPriority w:val="0"/>
    <w:rPr>
      <w:rFonts w:ascii="宋体" w:hAnsi="Courier New"/>
      <w:kern w:val="2"/>
      <w:sz w:val="21"/>
      <w:lang w:bidi="ar-SA"/>
    </w:rPr>
  </w:style>
  <w:style w:type="character" w:customStyle="1" w:styleId="135">
    <w:name w:val="HTML 预设格式 Char"/>
    <w:link w:val="41"/>
    <w:qFormat/>
    <w:uiPriority w:val="0"/>
    <w:rPr>
      <w:rFonts w:ascii="黑体" w:hAnsi="Courier New" w:eastAsia="黑体" w:cs="Courier New"/>
      <w:kern w:val="2"/>
      <w:sz w:val="21"/>
      <w:szCs w:val="24"/>
      <w:lang w:val="en-US" w:eastAsia="zh-CN" w:bidi="ar-SA"/>
    </w:rPr>
  </w:style>
  <w:style w:type="character" w:customStyle="1" w:styleId="136">
    <w:name w:val="标题 6 Char Char"/>
    <w:qFormat/>
    <w:uiPriority w:val="0"/>
    <w:rPr>
      <w:rFonts w:ascii="Arial" w:hAnsi="Arial" w:eastAsia="黑体"/>
      <w:b/>
      <w:bCs/>
      <w:kern w:val="2"/>
      <w:sz w:val="24"/>
      <w:szCs w:val="24"/>
      <w:lang w:val="en-US" w:eastAsia="zh-CN" w:bidi="ar-SA"/>
    </w:rPr>
  </w:style>
  <w:style w:type="character" w:customStyle="1" w:styleId="137">
    <w:name w:val="细目1 Char Char"/>
    <w:link w:val="138"/>
    <w:qFormat/>
    <w:uiPriority w:val="0"/>
    <w:rPr>
      <w:b/>
      <w:color w:val="215868"/>
      <w:kern w:val="2"/>
      <w:sz w:val="24"/>
      <w:szCs w:val="24"/>
    </w:rPr>
  </w:style>
  <w:style w:type="paragraph" w:customStyle="1" w:styleId="138">
    <w:name w:val="细目1"/>
    <w:basedOn w:val="1"/>
    <w:link w:val="137"/>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39">
    <w:name w:val="Char Char9"/>
    <w:qFormat/>
    <w:uiPriority w:val="0"/>
    <w:rPr>
      <w:rFonts w:ascii="宋体" w:hAnsi="Courier New" w:eastAsia="宋体"/>
      <w:kern w:val="2"/>
      <w:sz w:val="21"/>
      <w:lang w:val="en-US" w:eastAsia="zh-CN" w:bidi="ar-SA"/>
    </w:rPr>
  </w:style>
  <w:style w:type="character" w:customStyle="1" w:styleId="140">
    <w:name w:val="apple-converted-space"/>
    <w:qFormat/>
    <w:uiPriority w:val="0"/>
    <w:rPr>
      <w:rFonts w:cs="Times New Roman"/>
    </w:rPr>
  </w:style>
  <w:style w:type="paragraph" w:customStyle="1" w:styleId="141">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2">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3">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4">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5">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6">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7">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48">
    <w:name w:val="TOC 标题1"/>
    <w:basedOn w:val="3"/>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49">
    <w:name w:val="默认段落字体 Para Char Char Char Char Char Char Char Char Char Char"/>
    <w:basedOn w:val="1"/>
    <w:qFormat/>
    <w:uiPriority w:val="0"/>
    <w:rPr>
      <w:rFonts w:ascii="Tahoma" w:hAnsi="Tahoma"/>
      <w:sz w:val="24"/>
      <w:szCs w:val="20"/>
    </w:rPr>
  </w:style>
  <w:style w:type="paragraph" w:customStyle="1" w:styleId="15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1">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2">
    <w:name w:val="字元 字元"/>
    <w:basedOn w:val="1"/>
    <w:qFormat/>
    <w:uiPriority w:val="0"/>
    <w:pPr>
      <w:spacing w:line="360" w:lineRule="auto"/>
      <w:ind w:firstLine="200" w:firstLineChars="200"/>
    </w:pPr>
    <w:rPr>
      <w:rFonts w:ascii="宋体" w:hAnsi="宋体" w:cs="宋体"/>
      <w:sz w:val="24"/>
    </w:rPr>
  </w:style>
  <w:style w:type="paragraph" w:customStyle="1" w:styleId="153">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4">
    <w:name w:val="正文序号 4"/>
    <w:basedOn w:val="1"/>
    <w:qFormat/>
    <w:uiPriority w:val="0"/>
    <w:pPr>
      <w:numPr>
        <w:ilvl w:val="3"/>
        <w:numId w:val="7"/>
      </w:numPr>
      <w:tabs>
        <w:tab w:val="left" w:pos="1469"/>
      </w:tabs>
      <w:spacing w:before="60"/>
    </w:pPr>
  </w:style>
  <w:style w:type="paragraph" w:customStyle="1" w:styleId="155">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6">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7">
    <w:name w:val="Char3"/>
    <w:basedOn w:val="1"/>
    <w:qFormat/>
    <w:uiPriority w:val="0"/>
  </w:style>
  <w:style w:type="paragraph" w:customStyle="1" w:styleId="158">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59">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0">
    <w:name w:val="Char28"/>
    <w:basedOn w:val="1"/>
    <w:qFormat/>
    <w:uiPriority w:val="0"/>
    <w:pPr>
      <w:adjustRightInd w:val="0"/>
      <w:spacing w:line="360" w:lineRule="auto"/>
    </w:pPr>
  </w:style>
  <w:style w:type="paragraph" w:customStyle="1" w:styleId="161">
    <w:name w:val="pa-14"/>
    <w:basedOn w:val="1"/>
    <w:qFormat/>
    <w:uiPriority w:val="0"/>
    <w:pPr>
      <w:widowControl/>
      <w:spacing w:before="150" w:after="150"/>
      <w:jc w:val="left"/>
    </w:pPr>
    <w:rPr>
      <w:rFonts w:ascii="宋体" w:hAnsi="宋体" w:cs="宋体"/>
      <w:kern w:val="0"/>
      <w:sz w:val="24"/>
    </w:rPr>
  </w:style>
  <w:style w:type="paragraph" w:customStyle="1" w:styleId="162">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3">
    <w:name w:val="Item List in Table"/>
    <w:basedOn w:val="1"/>
    <w:qFormat/>
    <w:uiPriority w:val="0"/>
    <w:pPr>
      <w:numPr>
        <w:ilvl w:val="0"/>
        <w:numId w:val="8"/>
      </w:numPr>
      <w:jc w:val="left"/>
    </w:pPr>
  </w:style>
  <w:style w:type="paragraph" w:customStyle="1" w:styleId="164">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5">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6">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7">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8">
    <w:name w:val="默认段落字体 Para Char"/>
    <w:basedOn w:val="1"/>
    <w:qFormat/>
    <w:uiPriority w:val="0"/>
    <w:rPr>
      <w:rFonts w:ascii="Tahoma" w:hAnsi="Tahoma"/>
      <w:sz w:val="24"/>
      <w:szCs w:val="20"/>
    </w:rPr>
  </w:style>
  <w:style w:type="paragraph" w:customStyle="1" w:styleId="169">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0">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1">
    <w:name w:val="样式 正文缩进 + 首行缩进:  2 字符"/>
    <w:basedOn w:val="5"/>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2">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3">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4">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5">
    <w:name w:val="p0"/>
    <w:basedOn w:val="1"/>
    <w:qFormat/>
    <w:uiPriority w:val="0"/>
    <w:pPr>
      <w:widowControl/>
    </w:pPr>
    <w:rPr>
      <w:kern w:val="0"/>
      <w:szCs w:val="21"/>
    </w:rPr>
  </w:style>
  <w:style w:type="paragraph" w:customStyle="1" w:styleId="176">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7">
    <w:name w:val="默认段落字体 Para Char Char Char1 Char"/>
    <w:basedOn w:val="46"/>
    <w:qFormat/>
    <w:uiPriority w:val="0"/>
  </w:style>
  <w:style w:type="paragraph" w:customStyle="1" w:styleId="178">
    <w:name w:val="Char1"/>
    <w:basedOn w:val="1"/>
    <w:qFormat/>
    <w:uiPriority w:val="0"/>
    <w:pPr>
      <w:widowControl/>
      <w:spacing w:line="400" w:lineRule="exact"/>
      <w:jc w:val="center"/>
    </w:pPr>
    <w:rPr>
      <w:rFonts w:ascii="Verdana" w:hAnsi="Verdana"/>
      <w:kern w:val="0"/>
      <w:szCs w:val="20"/>
      <w:lang w:eastAsia="en-US"/>
    </w:rPr>
  </w:style>
  <w:style w:type="paragraph" w:customStyle="1" w:styleId="179">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0">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1">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2">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3">
    <w:name w:val="列出段落1"/>
    <w:basedOn w:val="1"/>
    <w:qFormat/>
    <w:uiPriority w:val="0"/>
    <w:pPr>
      <w:ind w:firstLine="200" w:firstLineChars="200"/>
    </w:pPr>
    <w:rPr>
      <w:rFonts w:ascii="Calibri" w:hAnsi="Calibri"/>
      <w:szCs w:val="22"/>
    </w:rPr>
  </w:style>
  <w:style w:type="paragraph" w:customStyle="1" w:styleId="184">
    <w:name w:val="缺省文本"/>
    <w:basedOn w:val="1"/>
    <w:qFormat/>
    <w:uiPriority w:val="0"/>
    <w:pPr>
      <w:autoSpaceDE w:val="0"/>
      <w:autoSpaceDN w:val="0"/>
      <w:adjustRightInd w:val="0"/>
      <w:jc w:val="left"/>
    </w:pPr>
    <w:rPr>
      <w:kern w:val="0"/>
      <w:sz w:val="24"/>
    </w:rPr>
  </w:style>
  <w:style w:type="paragraph" w:customStyle="1" w:styleId="185">
    <w:name w:val="Char Char Char Char Char Char Char Char Char"/>
    <w:basedOn w:val="1"/>
    <w:qFormat/>
    <w:uiPriority w:val="0"/>
    <w:rPr>
      <w:sz w:val="28"/>
    </w:rPr>
  </w:style>
  <w:style w:type="paragraph" w:customStyle="1" w:styleId="186">
    <w:name w:val="书籍标题4"/>
    <w:basedOn w:val="121"/>
    <w:next w:val="1"/>
    <w:qFormat/>
    <w:uiPriority w:val="0"/>
    <w:pPr>
      <w:numPr>
        <w:ilvl w:val="3"/>
      </w:numPr>
      <w:tabs>
        <w:tab w:val="left" w:pos="2160"/>
      </w:tabs>
      <w:ind w:left="2160"/>
      <w:outlineLvl w:val="3"/>
    </w:pPr>
    <w:rPr>
      <w:sz w:val="24"/>
      <w:szCs w:val="24"/>
      <w:lang w:val="zh-CN"/>
    </w:rPr>
  </w:style>
  <w:style w:type="paragraph" w:customStyle="1" w:styleId="187">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8">
    <w:name w:val="样式 书籍标题3 + Arial 段前: 1 行 段后: 1 行"/>
    <w:basedOn w:val="121"/>
    <w:qFormat/>
    <w:uiPriority w:val="0"/>
    <w:pPr>
      <w:numPr>
        <w:ilvl w:val="1"/>
        <w:numId w:val="9"/>
      </w:numPr>
      <w:spacing w:beforeLines="0" w:afterLines="0"/>
    </w:pPr>
    <w:rPr>
      <w:rFonts w:ascii="Arial" w:hAnsi="Arial" w:cs="宋体"/>
      <w:b w:val="0"/>
      <w:bCs w:val="0"/>
    </w:rPr>
  </w:style>
  <w:style w:type="paragraph" w:customStyle="1" w:styleId="189">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90">
    <w:name w:val="Char Char Char Char Char Char"/>
    <w:basedOn w:val="1"/>
    <w:qFormat/>
    <w:uiPriority w:val="0"/>
    <w:pPr>
      <w:widowControl/>
      <w:spacing w:after="160" w:line="240" w:lineRule="exact"/>
      <w:jc w:val="left"/>
    </w:pPr>
    <w:rPr>
      <w:sz w:val="32"/>
      <w:szCs w:val="20"/>
    </w:rPr>
  </w:style>
  <w:style w:type="paragraph" w:customStyle="1" w:styleId="191">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2">
    <w:name w:val="List Paragraph"/>
    <w:basedOn w:val="1"/>
    <w:qFormat/>
    <w:uiPriority w:val="0"/>
    <w:pPr>
      <w:ind w:firstLine="420" w:firstLineChars="200"/>
    </w:pPr>
  </w:style>
  <w:style w:type="paragraph" w:customStyle="1" w:styleId="193">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4">
    <w:name w:val="Char1 Char Char Char"/>
    <w:basedOn w:val="1"/>
    <w:qFormat/>
    <w:uiPriority w:val="0"/>
    <w:pPr>
      <w:ind w:left="1365" w:hanging="360"/>
    </w:pPr>
    <w:rPr>
      <w:sz w:val="24"/>
    </w:rPr>
  </w:style>
  <w:style w:type="paragraph" w:customStyle="1" w:styleId="195">
    <w:name w:val="MM Topic 6"/>
    <w:basedOn w:val="9"/>
    <w:qFormat/>
    <w:uiPriority w:val="0"/>
    <w:pPr>
      <w:numPr>
        <w:ilvl w:val="5"/>
        <w:numId w:val="10"/>
      </w:numPr>
      <w:tabs>
        <w:tab w:val="left" w:pos="425"/>
        <w:tab w:val="clear" w:pos="3260"/>
      </w:tabs>
      <w:spacing w:line="319" w:lineRule="auto"/>
    </w:pPr>
    <w:rPr>
      <w:bCs/>
      <w:szCs w:val="24"/>
    </w:rPr>
  </w:style>
  <w:style w:type="paragraph" w:customStyle="1" w:styleId="196">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7">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8">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9">
    <w:name w:val="样式 标题 4Alt+41.1.1.1 Heading 4bulletblbbH44h4H41h41H42... Char"/>
    <w:basedOn w:val="7"/>
    <w:qFormat/>
    <w:uiPriority w:val="0"/>
    <w:pPr>
      <w:tabs>
        <w:tab w:val="left" w:pos="1914"/>
      </w:tabs>
      <w:spacing w:before="120" w:after="120"/>
      <w:ind w:left="1914" w:hanging="864"/>
    </w:pPr>
    <w:rPr>
      <w:rFonts w:ascii="宋体" w:hAnsi="宋体"/>
      <w:bCs/>
      <w:color w:val="000000"/>
      <w:szCs w:val="28"/>
    </w:rPr>
  </w:style>
  <w:style w:type="paragraph" w:customStyle="1" w:styleId="200">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1">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3">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5">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6">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7">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8">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09">
    <w:name w:val="特点标题"/>
    <w:basedOn w:val="1"/>
    <w:next w:val="37"/>
    <w:qFormat/>
    <w:uiPriority w:val="0"/>
    <w:pPr>
      <w:adjustRightInd w:val="0"/>
      <w:spacing w:line="360" w:lineRule="auto"/>
      <w:ind w:firstLine="482"/>
      <w:textAlignment w:val="baseline"/>
    </w:pPr>
    <w:rPr>
      <w:rFonts w:ascii="宋体" w:hAnsi="宋体"/>
      <w:kern w:val="0"/>
      <w:sz w:val="24"/>
    </w:rPr>
  </w:style>
  <w:style w:type="paragraph" w:customStyle="1" w:styleId="210">
    <w:name w:val="pa-13"/>
    <w:basedOn w:val="1"/>
    <w:qFormat/>
    <w:uiPriority w:val="0"/>
    <w:pPr>
      <w:widowControl/>
      <w:spacing w:before="150" w:after="150"/>
      <w:jc w:val="left"/>
    </w:pPr>
    <w:rPr>
      <w:rFonts w:ascii="宋体" w:hAnsi="宋体" w:cs="宋体"/>
      <w:kern w:val="0"/>
      <w:sz w:val="24"/>
    </w:rPr>
  </w:style>
  <w:style w:type="paragraph" w:customStyle="1" w:styleId="211">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2">
    <w:name w:val="MM Topic 1"/>
    <w:basedOn w:val="3"/>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3">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4">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5">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6">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7">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8">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9">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0">
    <w:name w:val="样式 标题 3"/>
    <w:basedOn w:val="6"/>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2">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3">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4">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5">
    <w:name w:val="Char1 Char Char Char1"/>
    <w:basedOn w:val="1"/>
    <w:qFormat/>
    <w:uiPriority w:val="0"/>
    <w:pPr>
      <w:tabs>
        <w:tab w:val="left" w:pos="425"/>
      </w:tabs>
      <w:ind w:left="425" w:hanging="425"/>
    </w:pPr>
    <w:rPr>
      <w:sz w:val="24"/>
    </w:rPr>
  </w:style>
  <w:style w:type="paragraph" w:customStyle="1" w:styleId="226">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7">
    <w:name w:val="Char"/>
    <w:basedOn w:val="1"/>
    <w:qFormat/>
    <w:uiPriority w:val="0"/>
    <w:pPr>
      <w:tabs>
        <w:tab w:val="left" w:pos="1365"/>
      </w:tabs>
      <w:ind w:left="1365" w:hanging="360"/>
    </w:pPr>
    <w:rPr>
      <w:sz w:val="24"/>
    </w:rPr>
  </w:style>
  <w:style w:type="paragraph" w:customStyle="1" w:styleId="228">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29">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30">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1">
    <w:name w:val="没有缩进（为图形使用）"/>
    <w:basedOn w:val="1"/>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2">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3">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4">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5">
    <w:name w:val="样式1"/>
    <w:next w:val="16"/>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6">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7">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8">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39">
    <w:name w:val="Char Char Char Char Char Char Char Char Char1"/>
    <w:basedOn w:val="1"/>
    <w:qFormat/>
    <w:uiPriority w:val="0"/>
    <w:pPr>
      <w:widowControl/>
      <w:spacing w:after="160" w:line="240" w:lineRule="exact"/>
      <w:jc w:val="left"/>
    </w:pPr>
  </w:style>
  <w:style w:type="paragraph" w:customStyle="1" w:styleId="240">
    <w:name w:val="表格文字"/>
    <w:basedOn w:val="1"/>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1">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2">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3">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4">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5">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6">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7">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8">
    <w:name w:val="MM Topic 2"/>
    <w:basedOn w:val="4"/>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49">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0">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1">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2">
    <w:name w:val="font6"/>
    <w:basedOn w:val="1"/>
    <w:qFormat/>
    <w:uiPriority w:val="0"/>
    <w:pPr>
      <w:widowControl/>
      <w:spacing w:before="100" w:beforeAutospacing="1" w:after="100" w:afterAutospacing="1"/>
      <w:jc w:val="left"/>
    </w:pPr>
    <w:rPr>
      <w:kern w:val="0"/>
      <w:sz w:val="24"/>
    </w:rPr>
  </w:style>
  <w:style w:type="paragraph" w:customStyle="1" w:styleId="253">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4">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5">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6">
    <w:name w:val="样式 首行缩进:  0.85 厘米"/>
    <w:basedOn w:val="1"/>
    <w:qFormat/>
    <w:uiPriority w:val="0"/>
    <w:pPr>
      <w:spacing w:line="360" w:lineRule="auto"/>
      <w:ind w:firstLine="200" w:firstLineChars="200"/>
    </w:pPr>
    <w:rPr>
      <w:rFonts w:cs="宋体"/>
      <w:sz w:val="24"/>
      <w:szCs w:val="20"/>
    </w:rPr>
  </w:style>
  <w:style w:type="paragraph" w:customStyle="1" w:styleId="257">
    <w:name w:val="列举"/>
    <w:basedOn w:val="1"/>
    <w:qFormat/>
    <w:uiPriority w:val="0"/>
    <w:pPr>
      <w:numPr>
        <w:ilvl w:val="0"/>
        <w:numId w:val="15"/>
      </w:numPr>
      <w:spacing w:line="360" w:lineRule="auto"/>
    </w:pPr>
    <w:rPr>
      <w:rFonts w:ascii="宋体"/>
    </w:rPr>
  </w:style>
  <w:style w:type="paragraph" w:customStyle="1" w:styleId="258">
    <w:name w:val="正文1"/>
    <w:basedOn w:val="1"/>
    <w:qFormat/>
    <w:uiPriority w:val="0"/>
    <w:pPr>
      <w:spacing w:line="360" w:lineRule="auto"/>
    </w:pPr>
    <w:rPr>
      <w:rFonts w:ascii="宋体" w:hAnsi="宋体"/>
      <w:sz w:val="24"/>
    </w:rPr>
  </w:style>
  <w:style w:type="paragraph" w:customStyle="1" w:styleId="259">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60">
    <w:name w:val="正文缩进2字符"/>
    <w:basedOn w:val="45"/>
    <w:qFormat/>
    <w:uiPriority w:val="0"/>
    <w:pPr>
      <w:spacing w:after="0" w:line="360" w:lineRule="auto"/>
      <w:ind w:firstLine="200" w:firstLineChars="200"/>
    </w:pPr>
    <w:rPr>
      <w:sz w:val="24"/>
      <w:szCs w:val="24"/>
    </w:rPr>
  </w:style>
  <w:style w:type="paragraph" w:customStyle="1" w:styleId="261">
    <w:name w:val="font8"/>
    <w:basedOn w:val="1"/>
    <w:qFormat/>
    <w:uiPriority w:val="0"/>
    <w:pPr>
      <w:widowControl/>
      <w:spacing w:before="100" w:beforeAutospacing="1" w:after="100" w:afterAutospacing="1"/>
      <w:jc w:val="left"/>
    </w:pPr>
    <w:rPr>
      <w:kern w:val="0"/>
      <w:sz w:val="20"/>
      <w:szCs w:val="20"/>
    </w:rPr>
  </w:style>
  <w:style w:type="paragraph" w:customStyle="1" w:styleId="262">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3">
    <w:name w:val="pa-3"/>
    <w:basedOn w:val="1"/>
    <w:qFormat/>
    <w:uiPriority w:val="0"/>
    <w:pPr>
      <w:widowControl/>
      <w:spacing w:before="150" w:after="150"/>
      <w:jc w:val="left"/>
    </w:pPr>
    <w:rPr>
      <w:rFonts w:ascii="宋体" w:hAnsi="宋体" w:cs="宋体"/>
      <w:kern w:val="0"/>
      <w:sz w:val="24"/>
    </w:rPr>
  </w:style>
  <w:style w:type="paragraph" w:customStyle="1" w:styleId="264">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5">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6">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7">
    <w:name w:val="列表数字1"/>
    <w:next w:val="45"/>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8">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69">
    <w:name w:val="加点标题"/>
    <w:basedOn w:val="1"/>
    <w:qFormat/>
    <w:uiPriority w:val="0"/>
    <w:pPr>
      <w:numPr>
        <w:ilvl w:val="0"/>
        <w:numId w:val="18"/>
      </w:numPr>
      <w:spacing w:line="360" w:lineRule="auto"/>
    </w:pPr>
    <w:rPr>
      <w:sz w:val="24"/>
    </w:rPr>
  </w:style>
  <w:style w:type="paragraph" w:customStyle="1" w:styleId="270">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1">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2">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3">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4">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5">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6">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8">
    <w:name w:val="MM Topic 3"/>
    <w:basedOn w:val="6"/>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79">
    <w:name w:val="列出段落2"/>
    <w:basedOn w:val="1"/>
    <w:qFormat/>
    <w:uiPriority w:val="0"/>
    <w:pPr>
      <w:ind w:firstLine="420" w:firstLineChars="200"/>
    </w:pPr>
  </w:style>
  <w:style w:type="paragraph" w:customStyle="1" w:styleId="280">
    <w:name w:val="font15"/>
    <w:basedOn w:val="1"/>
    <w:qFormat/>
    <w:uiPriority w:val="0"/>
    <w:pPr>
      <w:widowControl/>
      <w:spacing w:before="100" w:beforeAutospacing="1" w:after="100" w:afterAutospacing="1"/>
      <w:jc w:val="left"/>
    </w:pPr>
    <w:rPr>
      <w:kern w:val="0"/>
      <w:sz w:val="20"/>
      <w:szCs w:val="20"/>
    </w:rPr>
  </w:style>
  <w:style w:type="paragraph" w:customStyle="1" w:styleId="281">
    <w:name w:val="pa-15"/>
    <w:basedOn w:val="1"/>
    <w:qFormat/>
    <w:uiPriority w:val="0"/>
    <w:pPr>
      <w:widowControl/>
      <w:spacing w:before="150" w:after="150"/>
      <w:jc w:val="left"/>
    </w:pPr>
    <w:rPr>
      <w:rFonts w:ascii="宋体" w:hAnsi="宋体" w:cs="宋体"/>
      <w:kern w:val="0"/>
      <w:sz w:val="24"/>
    </w:rPr>
  </w:style>
  <w:style w:type="paragraph" w:customStyle="1" w:styleId="282">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4">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5">
    <w:name w:val="Char Char3 Char Char"/>
    <w:basedOn w:val="1"/>
    <w:qFormat/>
    <w:uiPriority w:val="0"/>
    <w:pPr>
      <w:spacing w:line="360" w:lineRule="auto"/>
      <w:ind w:firstLine="200" w:firstLineChars="200"/>
    </w:pPr>
    <w:rPr>
      <w:rFonts w:ascii="宋体" w:hAnsi="宋体" w:cs="宋体"/>
      <w:sz w:val="24"/>
    </w:rPr>
  </w:style>
  <w:style w:type="paragraph" w:customStyle="1" w:styleId="286">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7">
    <w:name w:val="正文序号 2"/>
    <w:basedOn w:val="1"/>
    <w:qFormat/>
    <w:uiPriority w:val="0"/>
    <w:pPr>
      <w:numPr>
        <w:ilvl w:val="1"/>
        <w:numId w:val="7"/>
      </w:numPr>
      <w:tabs>
        <w:tab w:val="left" w:pos="1049"/>
      </w:tabs>
      <w:spacing w:before="60"/>
    </w:pPr>
  </w:style>
  <w:style w:type="paragraph" w:customStyle="1" w:styleId="288">
    <w:name w:val="样式 样式 标题 4Alt+41.1.1.1 Heading 4bulletblbbH44h4H41h41H42... + 自动..."/>
    <w:basedOn w:val="199"/>
    <w:qFormat/>
    <w:uiPriority w:val="0"/>
    <w:pPr>
      <w:numPr>
        <w:ilvl w:val="3"/>
        <w:numId w:val="20"/>
      </w:numPr>
      <w:tabs>
        <w:tab w:val="clear" w:pos="1914"/>
      </w:tabs>
    </w:pPr>
    <w:rPr>
      <w:color w:val="auto"/>
    </w:rPr>
  </w:style>
  <w:style w:type="paragraph" w:styleId="289">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0">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1">
    <w:name w:val="MM Topic 5"/>
    <w:basedOn w:val="8"/>
    <w:qFormat/>
    <w:uiPriority w:val="0"/>
    <w:pPr>
      <w:numPr>
        <w:ilvl w:val="4"/>
        <w:numId w:val="10"/>
      </w:numPr>
      <w:tabs>
        <w:tab w:val="left" w:pos="425"/>
        <w:tab w:val="clear" w:pos="2551"/>
      </w:tabs>
    </w:pPr>
    <w:rPr>
      <w:bCs/>
      <w:szCs w:val="28"/>
    </w:rPr>
  </w:style>
  <w:style w:type="paragraph" w:customStyle="1" w:styleId="292">
    <w:name w:val="正文文本样式"/>
    <w:basedOn w:val="1"/>
    <w:qFormat/>
    <w:uiPriority w:val="0"/>
    <w:pPr>
      <w:spacing w:line="360" w:lineRule="auto"/>
      <w:ind w:firstLine="482"/>
    </w:pPr>
    <w:rPr>
      <w:rFonts w:cs="宋体"/>
      <w:sz w:val="24"/>
      <w:szCs w:val="20"/>
    </w:rPr>
  </w:style>
  <w:style w:type="paragraph" w:customStyle="1" w:styleId="293">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4">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5">
    <w:name w:val="MM Topic 4"/>
    <w:basedOn w:val="7"/>
    <w:qFormat/>
    <w:uiPriority w:val="0"/>
    <w:pPr>
      <w:numPr>
        <w:ilvl w:val="3"/>
        <w:numId w:val="10"/>
      </w:numPr>
      <w:tabs>
        <w:tab w:val="left" w:pos="425"/>
        <w:tab w:val="clear" w:pos="1984"/>
      </w:tabs>
    </w:pPr>
    <w:rPr>
      <w:bCs/>
      <w:szCs w:val="28"/>
    </w:rPr>
  </w:style>
  <w:style w:type="paragraph" w:customStyle="1" w:styleId="296">
    <w:name w:val="正文序号 3"/>
    <w:basedOn w:val="1"/>
    <w:qFormat/>
    <w:uiPriority w:val="0"/>
    <w:pPr>
      <w:numPr>
        <w:ilvl w:val="2"/>
        <w:numId w:val="7"/>
      </w:numPr>
      <w:tabs>
        <w:tab w:val="left" w:pos="1259"/>
      </w:tabs>
      <w:spacing w:before="60"/>
    </w:pPr>
  </w:style>
  <w:style w:type="paragraph" w:customStyle="1" w:styleId="297">
    <w:name w:val="Char2"/>
    <w:basedOn w:val="1"/>
    <w:qFormat/>
    <w:uiPriority w:val="0"/>
    <w:pPr>
      <w:tabs>
        <w:tab w:val="left" w:pos="425"/>
      </w:tabs>
      <w:ind w:left="425" w:hanging="425"/>
    </w:pPr>
    <w:rPr>
      <w:sz w:val="24"/>
    </w:rPr>
  </w:style>
  <w:style w:type="paragraph" w:customStyle="1" w:styleId="298">
    <w:name w:val="正文序号 1"/>
    <w:basedOn w:val="1"/>
    <w:qFormat/>
    <w:uiPriority w:val="0"/>
    <w:pPr>
      <w:numPr>
        <w:ilvl w:val="0"/>
        <w:numId w:val="7"/>
      </w:numPr>
      <w:tabs>
        <w:tab w:val="left" w:pos="839"/>
      </w:tabs>
      <w:spacing w:before="60"/>
    </w:pPr>
  </w:style>
  <w:style w:type="paragraph" w:customStyle="1" w:styleId="299">
    <w:name w:val="字元 字元1"/>
    <w:basedOn w:val="1"/>
    <w:qFormat/>
    <w:uiPriority w:val="0"/>
    <w:pPr>
      <w:spacing w:line="360" w:lineRule="auto"/>
      <w:ind w:firstLine="200" w:firstLineChars="200"/>
    </w:pPr>
    <w:rPr>
      <w:rFonts w:ascii="宋体" w:hAnsi="宋体" w:cs="宋体"/>
      <w:sz w:val="24"/>
    </w:rPr>
  </w:style>
  <w:style w:type="paragraph" w:customStyle="1" w:styleId="300">
    <w:name w:val="font12"/>
    <w:basedOn w:val="1"/>
    <w:qFormat/>
    <w:uiPriority w:val="0"/>
    <w:pPr>
      <w:widowControl/>
      <w:spacing w:before="100" w:beforeAutospacing="1" w:after="100" w:afterAutospacing="1"/>
      <w:jc w:val="left"/>
    </w:pPr>
    <w:rPr>
      <w:kern w:val="0"/>
      <w:sz w:val="22"/>
      <w:szCs w:val="22"/>
    </w:rPr>
  </w:style>
  <w:style w:type="paragraph" w:customStyle="1" w:styleId="301">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2">
    <w:name w:val="标题 1 Char2"/>
    <w:qFormat/>
    <w:uiPriority w:val="0"/>
    <w:rPr>
      <w:rFonts w:ascii="黑体" w:eastAsia="黑体"/>
      <w:bCs/>
      <w:kern w:val="44"/>
      <w:sz w:val="24"/>
      <w:szCs w:val="24"/>
    </w:rPr>
  </w:style>
  <w:style w:type="character" w:customStyle="1" w:styleId="303">
    <w:name w:val="Font Style17"/>
    <w:qFormat/>
    <w:uiPriority w:val="0"/>
    <w:rPr>
      <w:rFonts w:ascii="黑体" w:eastAsia="黑体" w:cs="黑体"/>
      <w:sz w:val="28"/>
      <w:szCs w:val="28"/>
    </w:rPr>
  </w:style>
  <w:style w:type="character" w:styleId="304">
    <w:name w:val="Placeholder Text"/>
    <w:basedOn w:val="48"/>
    <w:semiHidden/>
    <w:qFormat/>
    <w:uiPriority w:val="99"/>
    <w:rPr>
      <w:color w:val="808080"/>
    </w:rPr>
  </w:style>
  <w:style w:type="character" w:customStyle="1" w:styleId="305">
    <w:name w:val="标题 2 Char"/>
    <w:qFormat/>
    <w:uiPriority w:val="0"/>
    <w:rPr>
      <w:rFonts w:ascii="黑体" w:hAnsi="宋体" w:eastAsia="黑体"/>
      <w:bCs/>
      <w:kern w:val="44"/>
      <w:sz w:val="21"/>
      <w:szCs w:val="24"/>
    </w:rPr>
  </w:style>
  <w:style w:type="character" w:customStyle="1" w:styleId="306">
    <w:name w:val="正文缩进 Char3"/>
    <w:qFormat/>
    <w:uiPriority w:val="0"/>
    <w:rPr>
      <w:rFonts w:ascii="宋体" w:eastAsia="宋体"/>
      <w:sz w:val="34"/>
      <w:lang w:val="en-US" w:eastAsia="zh-CN" w:bidi="ar-SA"/>
    </w:rPr>
  </w:style>
  <w:style w:type="character" w:customStyle="1" w:styleId="307">
    <w:name w:val="正文文本 3 Char"/>
    <w:basedOn w:val="48"/>
    <w:link w:val="18"/>
    <w:qFormat/>
    <w:uiPriority w:val="0"/>
    <w:rPr>
      <w:sz w:val="16"/>
      <w:szCs w:val="16"/>
    </w:rPr>
  </w:style>
  <w:style w:type="paragraph" w:customStyle="1" w:styleId="308">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309">
    <w:name w:val="首行缩进"/>
    <w:basedOn w:val="1"/>
    <w:qFormat/>
    <w:uiPriority w:val="0"/>
    <w:pPr>
      <w:spacing w:line="360" w:lineRule="auto"/>
      <w:ind w:firstLine="480" w:firstLineChars="200"/>
    </w:pPr>
    <w:rPr>
      <w:rFonts w:ascii="宋体" w:hAnsi="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glossaryDocument" Target="glossary/document.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A96D7F7CF1A4A5297711D2BFC5C5079"/>
        <w:style w:val=""/>
        <w:category>
          <w:name w:val="常规"/>
          <w:gallery w:val="placeholder"/>
        </w:category>
        <w:types>
          <w:type w:val="bbPlcHdr"/>
        </w:types>
        <w:behaviors>
          <w:behavior w:val="content"/>
        </w:behaviors>
        <w:description w:val=""/>
        <w:guid w:val="{FA19F256-A0E0-46E6-8C94-EBB64F501464}"/>
      </w:docPartPr>
      <w:docPartBody>
        <w:p>
          <w:pPr>
            <w:pStyle w:val="43"/>
          </w:pPr>
          <w:r>
            <w:rPr>
              <w:rStyle w:val="4"/>
              <w:rFonts w:hint="eastAsia"/>
              <w:color w:val="000000" w:themeColor="text1"/>
            </w:rPr>
            <w:t>年  月  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B37C5"/>
    <w:rsid w:val="00055009"/>
    <w:rsid w:val="000C3A0F"/>
    <w:rsid w:val="0010268D"/>
    <w:rsid w:val="00131B8D"/>
    <w:rsid w:val="001B3F57"/>
    <w:rsid w:val="00231C42"/>
    <w:rsid w:val="0023368B"/>
    <w:rsid w:val="002B3139"/>
    <w:rsid w:val="002C233F"/>
    <w:rsid w:val="003A1DB1"/>
    <w:rsid w:val="004024A0"/>
    <w:rsid w:val="00556BB6"/>
    <w:rsid w:val="005627B7"/>
    <w:rsid w:val="00596956"/>
    <w:rsid w:val="005B37C5"/>
    <w:rsid w:val="006526B8"/>
    <w:rsid w:val="00695E5C"/>
    <w:rsid w:val="0074518B"/>
    <w:rsid w:val="00756999"/>
    <w:rsid w:val="00757B67"/>
    <w:rsid w:val="007808DA"/>
    <w:rsid w:val="007B18BA"/>
    <w:rsid w:val="007D6803"/>
    <w:rsid w:val="008A1BA2"/>
    <w:rsid w:val="008E038D"/>
    <w:rsid w:val="009162DF"/>
    <w:rsid w:val="009222E7"/>
    <w:rsid w:val="00925686"/>
    <w:rsid w:val="00973196"/>
    <w:rsid w:val="00974C20"/>
    <w:rsid w:val="00975BC4"/>
    <w:rsid w:val="00A520D0"/>
    <w:rsid w:val="00A62048"/>
    <w:rsid w:val="00B64CAE"/>
    <w:rsid w:val="00B70EC9"/>
    <w:rsid w:val="00B72406"/>
    <w:rsid w:val="00C14AD7"/>
    <w:rsid w:val="00DD6105"/>
    <w:rsid w:val="00DD65DB"/>
    <w:rsid w:val="00E7527D"/>
    <w:rsid w:val="00EA39B5"/>
    <w:rsid w:val="00EA623C"/>
    <w:rsid w:val="00EF2421"/>
    <w:rsid w:val="00EF43C4"/>
    <w:rsid w:val="00FB4696"/>
    <w:rsid w:val="00FC445E"/>
    <w:rsid w:val="00FD1E0D"/>
    <w:rsid w:val="00FE1576"/>
    <w:rsid w:val="00FF07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EA96D7F7CF1A4A5297711D2BFC5C507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5BB15160A6374FA780ABA93A091EAFC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2FAC1DDF9F13492398C64F996A4FE0B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FE6238363F154FE2B2D7086A1D0C586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B0D926B436954A41A112245489FAED6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9045FBB2F32B483D91F7ECF0C6DC16A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30AEC40758D240CDAC85060DAB29F7A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EA96D7F7CF1A4A5297711D2BFC5C5079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5BB15160A6374FA780ABA93A091EAFCA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2FAC1DDF9F13492398C64F996A4FE0B0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FE6238363F154FE2B2D7086A1D0C5860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B0D926B436954A41A112245489FAED6D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
    <w:name w:val="9045FBB2F32B483D91F7ECF0C6DC16A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30AEC40758D240CDAC85060DAB29F7A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EA96D7F7CF1A4A5297711D2BFC5C5079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5BB15160A6374FA780ABA93A091EAFCA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2FAC1DDF9F13492398C64F996A4FE0B0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
    <w:name w:val="FE6238363F154FE2B2D7086A1D0C5860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0D926B436954A41A112245489FAED6D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9045FBB2F32B483D91F7ECF0C6DC16A2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30AEC40758D240CDAC85060DAB29F7A3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
    <w:name w:val="5AD39ACF3C0B4BD88CFA70B40076851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27DA420926AA423E8F10E6D506FD324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8">
    <w:name w:val="D635DE0BC0DC4DBBBE530E11BDB6916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EA96D7F7CF1A4A5297711D2BFC5C5079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5BB15160A6374FA780ABA93A091EAFCA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2FAC1DDF9F13492398C64F996A4FE0B0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5AD39ACF3C0B4BD88CFA70B400768517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27DA420926AA423E8F10E6D506FD324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
    <w:name w:val="D635DE0BC0DC4DBBBE530E11BDB6916D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30AEC40758D240CDAC85060DAB29F7A3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EA96D7F7CF1A4A5297711D2BFC5C5079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5BB15160A6374FA780ABA93A091EAFCA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2FAC1DDF9F13492398C64F996A4FE0B0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
    <w:name w:val="5AD39ACF3C0B4BD88CFA70B400768517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27DA420926AA423E8F10E6D506FD3242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D635DE0BC0DC4DBBBE530E11BDB6916D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2">
    <w:name w:val="30AEC40758D240CDAC85060DAB29F7A3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EA96D7F7CF1A4A5297711D2BFC5C5079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5BB15160A6374FA780ABA93A091EAFCA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2FAC1DDF9F13492398C64F996A4FE0B0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
    <w:name w:val="5AD39ACF3C0B4BD88CFA70B400768517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7">
    <w:name w:val="27DA420926AA423E8F10E6D506FD3242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D635DE0BC0DC4DBBBE530E11BDB6916D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30AEC40758D240CDAC85060DAB29F7A35"/>
    <w:qFormat/>
    <w:uiPriority w:val="0"/>
    <w:pPr>
      <w:widowControl w:val="0"/>
      <w:jc w:val="both"/>
    </w:pPr>
    <w:rPr>
      <w:rFonts w:ascii="Times New Roman" w:hAnsi="Times New Roman" w:eastAsia="宋体" w:cs="Times New Roman"/>
      <w:kern w:val="2"/>
      <w:sz w:val="21"/>
      <w:szCs w:val="24"/>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80</Pages>
  <Words>45739</Words>
  <Characters>51569</Characters>
  <Lines>291</Lines>
  <Paragraphs>82</Paragraphs>
  <TotalTime>2</TotalTime>
  <ScaleCrop>false</ScaleCrop>
  <LinksUpToDate>false</LinksUpToDate>
  <CharactersWithSpaces>57008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2018-12-29T01:12:00Z</dcterms:created>
  <dc:creator>杨佳佳</dc:creator>
  <cp:lastModifiedBy>Administrator</cp:lastModifiedBy>
  <cp:lastPrinted>2022-07-12T01:26:00Z</cp:lastPrinted>
  <dcterms:modified xsi:type="dcterms:W3CDTF">2022-07-14T09:48:29Z</dcterms:modified>
  <dc:title>货物公开招标</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880F57A76A414B14A2387AC33543BC7C</vt:lpwstr>
  </property>
</Properties>
</file>