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auto"/>
          <w:sz w:val="32"/>
          <w:highlight w:val="none"/>
        </w:rPr>
      </w:pPr>
      <w:bookmarkStart w:id="0" w:name="_Toc491658631"/>
    </w:p>
    <w:p>
      <w:pPr>
        <w:pStyle w:val="23"/>
        <w:widowControl/>
        <w:adjustRightInd w:val="0"/>
        <w:snapToGrid w:val="0"/>
        <w:spacing w:line="360" w:lineRule="auto"/>
        <w:rPr>
          <w:rFonts w:ascii="黑体" w:eastAsia="黑体"/>
          <w:bCs/>
          <w:color w:val="auto"/>
          <w:sz w:val="32"/>
          <w:highlight w:val="none"/>
        </w:rPr>
      </w:pPr>
    </w:p>
    <w:p>
      <w:pPr>
        <w:pStyle w:val="23"/>
        <w:widowControl/>
        <w:adjustRightInd w:val="0"/>
        <w:snapToGrid w:val="0"/>
        <w:spacing w:line="360" w:lineRule="auto"/>
        <w:jc w:val="left"/>
        <w:rPr>
          <w:rFonts w:ascii="黑体" w:eastAsia="黑体"/>
          <w:bCs/>
          <w:color w:val="auto"/>
          <w:sz w:val="32"/>
          <w:highlight w:val="none"/>
        </w:rPr>
      </w:pPr>
      <w:r>
        <w:rPr>
          <w:rFonts w:hint="eastAsia" w:ascii="黑体" w:eastAsia="黑体"/>
          <w:bCs/>
          <w:color w:val="auto"/>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auto"/>
          <w:sz w:val="52"/>
          <w:szCs w:val="52"/>
          <w:highlight w:val="none"/>
        </w:rPr>
      </w:pPr>
    </w:p>
    <w:p>
      <w:pPr>
        <w:pStyle w:val="23"/>
        <w:widowControl/>
        <w:adjustRightInd w:val="0"/>
        <w:snapToGrid w:val="0"/>
        <w:spacing w:line="360" w:lineRule="auto"/>
        <w:jc w:val="center"/>
        <w:rPr>
          <w:rFonts w:ascii="黑体" w:eastAsia="黑体"/>
          <w:bCs/>
          <w:color w:val="auto"/>
          <w:sz w:val="52"/>
          <w:szCs w:val="52"/>
          <w:highlight w:val="none"/>
        </w:rPr>
      </w:pPr>
      <w:r>
        <w:rPr>
          <w:rFonts w:hint="eastAsia" w:ascii="黑体" w:eastAsia="黑体"/>
          <w:bCs/>
          <w:color w:val="auto"/>
          <w:sz w:val="52"/>
          <w:szCs w:val="52"/>
          <w:highlight w:val="none"/>
        </w:rPr>
        <w:t>公开招标</w:t>
      </w:r>
    </w:p>
    <w:p>
      <w:pPr>
        <w:pStyle w:val="23"/>
        <w:widowControl/>
        <w:adjustRightInd w:val="0"/>
        <w:snapToGrid w:val="0"/>
        <w:spacing w:line="360" w:lineRule="auto"/>
        <w:jc w:val="center"/>
        <w:rPr>
          <w:rFonts w:ascii="黑体" w:eastAsia="黑体"/>
          <w:bCs/>
          <w:color w:val="auto"/>
          <w:sz w:val="72"/>
          <w:szCs w:val="72"/>
          <w:highlight w:val="none"/>
        </w:rPr>
      </w:pPr>
    </w:p>
    <w:p>
      <w:pPr>
        <w:pStyle w:val="23"/>
        <w:widowControl/>
        <w:adjustRightInd w:val="0"/>
        <w:snapToGrid w:val="0"/>
        <w:spacing w:line="360" w:lineRule="auto"/>
        <w:jc w:val="center"/>
        <w:rPr>
          <w:rFonts w:ascii="黑体" w:eastAsia="黑体"/>
          <w:bCs/>
          <w:color w:val="auto"/>
          <w:sz w:val="36"/>
          <w:highlight w:val="none"/>
        </w:rPr>
      </w:pPr>
      <w:r>
        <w:rPr>
          <w:rFonts w:hint="eastAsia" w:ascii="黑体" w:eastAsia="黑体"/>
          <w:bCs/>
          <w:color w:val="auto"/>
          <w:sz w:val="72"/>
          <w:highlight w:val="none"/>
        </w:rPr>
        <w:t>招  标  文  件</w:t>
      </w:r>
    </w:p>
    <w:p>
      <w:pPr>
        <w:pStyle w:val="23"/>
        <w:widowControl/>
        <w:adjustRightInd w:val="0"/>
        <w:snapToGrid w:val="0"/>
        <w:spacing w:line="360" w:lineRule="auto"/>
        <w:jc w:val="center"/>
        <w:rPr>
          <w:rFonts w:ascii="黑体" w:hAnsi="黑体" w:eastAsia="黑体"/>
          <w:bCs/>
          <w:color w:val="auto"/>
          <w:sz w:val="24"/>
          <w:szCs w:val="24"/>
          <w:highlight w:val="none"/>
          <w:bdr w:val="single" w:color="auto" w:sz="4" w:space="0"/>
        </w:rPr>
      </w:pPr>
    </w:p>
    <w:p>
      <w:pPr>
        <w:pStyle w:val="23"/>
        <w:widowControl/>
        <w:adjustRightInd w:val="0"/>
        <w:snapToGrid w:val="0"/>
        <w:spacing w:line="360" w:lineRule="auto"/>
        <w:jc w:val="center"/>
        <w:rPr>
          <w:rFonts w:ascii="黑体" w:eastAsia="黑体"/>
          <w:bCs/>
          <w:color w:val="auto"/>
          <w:sz w:val="52"/>
          <w:szCs w:val="52"/>
          <w:highlight w:val="none"/>
        </w:rPr>
      </w:pPr>
    </w:p>
    <w:p>
      <w:pPr>
        <w:pStyle w:val="23"/>
        <w:widowControl/>
        <w:adjustRightInd w:val="0"/>
        <w:snapToGrid w:val="0"/>
        <w:spacing w:line="360" w:lineRule="auto"/>
        <w:rPr>
          <w:rFonts w:ascii="黑体" w:eastAsia="黑体"/>
          <w:bCs/>
          <w:color w:val="auto"/>
          <w:sz w:val="52"/>
          <w:szCs w:val="52"/>
          <w:highlight w:val="none"/>
        </w:rPr>
      </w:pPr>
    </w:p>
    <w:p>
      <w:pPr>
        <w:pStyle w:val="23"/>
        <w:widowControl/>
        <w:adjustRightInd w:val="0"/>
        <w:snapToGrid w:val="0"/>
        <w:spacing w:line="360" w:lineRule="auto"/>
        <w:rPr>
          <w:rFonts w:ascii="黑体" w:eastAsia="黑体"/>
          <w:bCs/>
          <w:color w:val="auto"/>
          <w:sz w:val="52"/>
          <w:szCs w:val="52"/>
          <w:highlight w:val="none"/>
        </w:rPr>
      </w:pPr>
    </w:p>
    <w:tbl>
      <w:tblPr>
        <w:tblStyle w:val="46"/>
        <w:tblW w:w="8722" w:type="dxa"/>
        <w:jc w:val="center"/>
        <w:tblLayout w:type="fixed"/>
        <w:tblCellMar>
          <w:top w:w="0" w:type="dxa"/>
          <w:left w:w="108" w:type="dxa"/>
          <w:bottom w:w="0" w:type="dxa"/>
          <w:right w:w="108" w:type="dxa"/>
        </w:tblCellMar>
      </w:tblPr>
      <w:tblGrid>
        <w:gridCol w:w="1951"/>
        <w:gridCol w:w="284"/>
        <w:gridCol w:w="6487"/>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3"/>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487" w:type="dxa"/>
            <w:vAlign w:val="center"/>
          </w:tcPr>
          <w:p>
            <w:pPr>
              <w:pStyle w:val="23"/>
              <w:widowControl/>
              <w:adjustRightInd w:val="0"/>
              <w:snapToGrid w:val="0"/>
              <w:spacing w:line="360" w:lineRule="auto"/>
              <w:jc w:val="left"/>
              <w:rPr>
                <w:rFonts w:hint="eastAsia" w:hAnsi="宋体" w:eastAsia="宋体"/>
                <w:b/>
                <w:color w:val="auto"/>
                <w:sz w:val="28"/>
                <w:szCs w:val="28"/>
                <w:highlight w:val="none"/>
                <w:lang w:eastAsia="zh-CN"/>
              </w:rPr>
            </w:pPr>
            <w:r>
              <w:rPr>
                <w:rFonts w:hint="eastAsia" w:hAnsi="宋体"/>
                <w:b/>
                <w:color w:val="auto"/>
                <w:sz w:val="28"/>
                <w:szCs w:val="28"/>
                <w:highlight w:val="none"/>
                <w:lang w:eastAsia="zh-CN"/>
              </w:rPr>
              <w:t>YXZB-20220628</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项目名称</w:t>
            </w:r>
          </w:p>
        </w:tc>
        <w:tc>
          <w:tcPr>
            <w:tcW w:w="284" w:type="dxa"/>
          </w:tcPr>
          <w:p>
            <w:pPr>
              <w:pStyle w:val="23"/>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487" w:type="dxa"/>
            <w:vAlign w:val="center"/>
          </w:tcPr>
          <w:p>
            <w:pPr>
              <w:pStyle w:val="23"/>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阳江市海陵岛经济开发试验区房管中心物业维修基金专户代理银行采购项目（2022-2025）</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3"/>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487" w:type="dxa"/>
            <w:vAlign w:val="center"/>
          </w:tcPr>
          <w:p>
            <w:pPr>
              <w:pStyle w:val="23"/>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阳江市海陵岛经济开发试验区房管中心</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3"/>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487" w:type="dxa"/>
            <w:vAlign w:val="center"/>
          </w:tcPr>
          <w:p>
            <w:pPr>
              <w:pStyle w:val="23"/>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广东业信招标有限公司</w:t>
            </w:r>
          </w:p>
        </w:tc>
      </w:tr>
    </w:tbl>
    <w:p>
      <w:pPr>
        <w:pStyle w:val="23"/>
        <w:widowControl/>
        <w:adjustRightInd w:val="0"/>
        <w:snapToGrid w:val="0"/>
        <w:spacing w:line="360" w:lineRule="auto"/>
        <w:jc w:val="center"/>
        <w:rPr>
          <w:rFonts w:hint="eastAsia" w:ascii="黑体" w:eastAsia="黑体"/>
          <w:bCs/>
          <w:color w:val="auto"/>
          <w:sz w:val="24"/>
          <w:highlight w:val="none"/>
        </w:rPr>
      </w:pPr>
    </w:p>
    <w:p>
      <w:pPr>
        <w:pStyle w:val="23"/>
        <w:widowControl/>
        <w:adjustRightInd w:val="0"/>
        <w:snapToGrid w:val="0"/>
        <w:spacing w:line="360" w:lineRule="auto"/>
        <w:jc w:val="center"/>
        <w:rPr>
          <w:rFonts w:ascii="黑体" w:eastAsia="黑体"/>
          <w:bCs/>
          <w:color w:val="auto"/>
          <w:sz w:val="24"/>
          <w:highlight w:val="none"/>
        </w:rPr>
      </w:pPr>
      <w:r>
        <w:rPr>
          <w:rFonts w:hint="eastAsia" w:ascii="黑体" w:eastAsia="黑体"/>
          <w:bCs/>
          <w:color w:val="auto"/>
          <w:sz w:val="24"/>
          <w:highlight w:val="none"/>
        </w:rPr>
        <w:t>二○</w:t>
      </w:r>
      <w:r>
        <w:rPr>
          <w:rFonts w:hint="eastAsia" w:ascii="黑体" w:eastAsia="黑体"/>
          <w:bCs/>
          <w:color w:val="auto"/>
          <w:sz w:val="24"/>
          <w:highlight w:val="none"/>
          <w:lang w:val="en-US" w:eastAsia="zh-CN"/>
        </w:rPr>
        <w:t>二二</w:t>
      </w:r>
      <w:r>
        <w:rPr>
          <w:rFonts w:hint="eastAsia" w:ascii="黑体" w:eastAsia="黑体"/>
          <w:bCs/>
          <w:color w:val="auto"/>
          <w:sz w:val="24"/>
          <w:highlight w:val="none"/>
        </w:rPr>
        <w:t>年</w:t>
      </w:r>
      <w:r>
        <w:rPr>
          <w:rFonts w:hint="eastAsia" w:ascii="黑体" w:eastAsia="黑体"/>
          <w:bCs/>
          <w:color w:val="auto"/>
          <w:sz w:val="24"/>
          <w:highlight w:val="none"/>
          <w:lang w:val="en-US" w:eastAsia="zh-CN"/>
        </w:rPr>
        <w:t>六</w:t>
      </w:r>
      <w:r>
        <w:rPr>
          <w:rFonts w:hint="eastAsia" w:ascii="黑体" w:eastAsia="黑体"/>
          <w:bCs/>
          <w:color w:val="auto"/>
          <w:sz w:val="24"/>
          <w:highlight w:val="none"/>
        </w:rPr>
        <w:t>月</w:t>
      </w:r>
    </w:p>
    <w:p>
      <w:pPr>
        <w:spacing w:beforeLines="50" w:afterLines="50" w:line="360" w:lineRule="atLeast"/>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请供应商特别留意招标文件上注明的投标截止和开标时间，逾期送达或邮寄送达的投标文件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ascii="宋体" w:hAnsi="宋体"/>
          <w:color w:val="auto"/>
          <w:szCs w:val="21"/>
          <w:highlight w:val="none"/>
        </w:rPr>
        <w:t>会议室。</w:t>
      </w:r>
    </w:p>
    <w:p>
      <w:pPr>
        <w:numPr>
          <w:ilvl w:val="0"/>
          <w:numId w:val="21"/>
        </w:numPr>
        <w:spacing w:line="440" w:lineRule="exact"/>
        <w:ind w:left="454" w:hanging="454"/>
        <w:rPr>
          <w:rFonts w:ascii="宋体" w:hAnsi="宋体"/>
          <w:color w:val="auto"/>
          <w:szCs w:val="21"/>
          <w:highlight w:val="none"/>
        </w:rPr>
      </w:pPr>
      <w:r>
        <w:rPr>
          <w:rFonts w:ascii="宋体" w:hAnsi="宋体"/>
          <w:b/>
          <w:color w:val="auto"/>
          <w:szCs w:val="21"/>
          <w:highlight w:val="none"/>
          <w:u w:val="single"/>
        </w:rPr>
        <w:t>招标文件中标有“★”的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请正确填写《开标一览表》，</w:t>
      </w:r>
      <w:r>
        <w:rPr>
          <w:rFonts w:hint="eastAsia" w:ascii="宋体" w:hAnsi="宋体"/>
          <w:color w:val="auto"/>
          <w:szCs w:val="21"/>
          <w:highlight w:val="none"/>
        </w:rPr>
        <w:t>如</w:t>
      </w:r>
      <w:r>
        <w:rPr>
          <w:rFonts w:ascii="宋体" w:hAnsi="宋体"/>
          <w:color w:val="auto"/>
          <w:szCs w:val="21"/>
          <w:highlight w:val="none"/>
        </w:rPr>
        <w:t>含有</w:t>
      </w:r>
      <w:r>
        <w:rPr>
          <w:rFonts w:hint="eastAsia" w:ascii="宋体" w:hAnsi="宋体"/>
          <w:color w:val="auto"/>
          <w:szCs w:val="21"/>
          <w:highlight w:val="none"/>
        </w:rPr>
        <w:t>包组</w:t>
      </w:r>
      <w:r>
        <w:rPr>
          <w:rFonts w:ascii="宋体" w:hAnsi="宋体"/>
          <w:color w:val="auto"/>
          <w:szCs w:val="21"/>
          <w:highlight w:val="none"/>
        </w:rPr>
        <w:t>的投标项目</w:t>
      </w:r>
      <w:r>
        <w:rPr>
          <w:rFonts w:hint="eastAsia" w:ascii="宋体" w:hAnsi="宋体"/>
          <w:color w:val="auto"/>
          <w:szCs w:val="21"/>
          <w:highlight w:val="none"/>
        </w:rPr>
        <w:t>建议</w:t>
      </w:r>
      <w:r>
        <w:rPr>
          <w:rFonts w:ascii="宋体" w:hAnsi="宋体"/>
          <w:color w:val="auto"/>
          <w:szCs w:val="21"/>
          <w:highlight w:val="none"/>
        </w:rPr>
        <w:t>分开报价，</w:t>
      </w:r>
      <w:r>
        <w:rPr>
          <w:rFonts w:hint="eastAsia" w:ascii="宋体" w:hAnsi="宋体"/>
          <w:color w:val="auto"/>
          <w:szCs w:val="21"/>
          <w:highlight w:val="none"/>
        </w:rPr>
        <w:t>报价要求详见招标文件《开标一览表》</w:t>
      </w:r>
      <w:r>
        <w:rPr>
          <w:rFonts w:ascii="宋体" w:hAnsi="宋体"/>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请仔细检查《投标函》、《开标一览表》、</w:t>
      </w:r>
      <w:r>
        <w:rPr>
          <w:rFonts w:hint="eastAsia" w:ascii="宋体" w:hAnsi="宋体"/>
          <w:color w:val="auto"/>
          <w:szCs w:val="21"/>
          <w:highlight w:val="none"/>
        </w:rPr>
        <w:t>《法定代表人（负责人）证明书》、</w:t>
      </w:r>
      <w:r>
        <w:rPr>
          <w:rFonts w:ascii="宋体" w:hAnsi="宋体"/>
          <w:color w:val="auto"/>
          <w:szCs w:val="21"/>
          <w:highlight w:val="none"/>
        </w:rPr>
        <w:t>《</w:t>
      </w:r>
      <w:r>
        <w:rPr>
          <w:rFonts w:hint="eastAsia" w:ascii="宋体" w:hAnsi="宋体"/>
          <w:color w:val="auto"/>
          <w:szCs w:val="21"/>
          <w:highlight w:val="none"/>
        </w:rPr>
        <w:t>法定代表人（负责人）</w:t>
      </w:r>
      <w:r>
        <w:rPr>
          <w:rFonts w:ascii="宋体" w:hAnsi="宋体"/>
          <w:color w:val="auto"/>
          <w:szCs w:val="21"/>
          <w:highlight w:val="none"/>
        </w:rPr>
        <w:t>授权书》等重要格式文件是否有按要求盖公章或签名</w:t>
      </w:r>
      <w:r>
        <w:rPr>
          <w:rFonts w:hint="eastAsia" w:ascii="宋体" w:hAnsi="宋体" w:cs="Tahoma"/>
          <w:b/>
          <w:bCs/>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建议将投标文件按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auto"/>
          <w:szCs w:val="21"/>
          <w:highlight w:val="none"/>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评标委员会</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23"/>
        <w:widowControl/>
        <w:adjustRightInd w:val="0"/>
        <w:snapToGrid w:val="0"/>
        <w:spacing w:line="440" w:lineRule="exact"/>
        <w:ind w:firstLine="413" w:firstLineChars="196"/>
        <w:rPr>
          <w:rFonts w:ascii="黑体" w:eastAsia="黑体"/>
          <w:bCs/>
          <w:color w:val="auto"/>
          <w:sz w:val="30"/>
          <w:szCs w:val="30"/>
          <w:highlight w:val="none"/>
        </w:rPr>
      </w:pPr>
      <w:r>
        <w:rPr>
          <w:rFonts w:hint="eastAsia" w:hAnsi="宋体" w:cs="仿宋_GB2312"/>
          <w:b/>
          <w:bCs/>
          <w:color w:val="auto"/>
          <w:highlight w:val="none"/>
          <w:lang w:val="zh-CN"/>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auto"/>
          <w:sz w:val="30"/>
          <w:szCs w:val="30"/>
          <w:highlight w:val="none"/>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auto"/>
          <w:szCs w:val="21"/>
          <w:highlight w:val="none"/>
        </w:rPr>
      </w:pPr>
      <w:r>
        <w:rPr>
          <w:rFonts w:ascii="宋体" w:hAnsi="宋体"/>
          <w:bCs/>
          <w:color w:val="auto"/>
          <w:szCs w:val="21"/>
          <w:highlight w:val="none"/>
        </w:rPr>
        <w:tab/>
      </w:r>
      <w:r>
        <w:rPr>
          <w:rFonts w:ascii="宋体" w:hAnsi="宋体"/>
          <w:bCs/>
          <w:color w:val="auto"/>
          <w:szCs w:val="21"/>
          <w:highlight w:val="none"/>
        </w:rPr>
        <w:tab/>
      </w: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center"/>
        <w:rPr>
          <w:rFonts w:ascii="宋体" w:hAnsi="宋体"/>
          <w:b/>
          <w:bCs/>
          <w:color w:val="auto"/>
          <w:sz w:val="32"/>
          <w:szCs w:val="32"/>
          <w:highlight w:val="none"/>
        </w:rPr>
      </w:pPr>
      <w:r>
        <w:rPr>
          <w:rFonts w:hint="eastAsia" w:ascii="宋体" w:hAnsi="宋体"/>
          <w:b/>
          <w:bCs/>
          <w:color w:val="auto"/>
          <w:sz w:val="32"/>
          <w:szCs w:val="32"/>
          <w:highlight w:val="none"/>
        </w:rPr>
        <w:t>目   录</w:t>
      </w:r>
    </w:p>
    <w:p>
      <w:pPr>
        <w:pStyle w:val="3"/>
        <w:numPr>
          <w:ilvl w:val="0"/>
          <w:numId w:val="0"/>
        </w:numPr>
        <w:spacing w:beforeLines="0" w:line="240" w:lineRule="auto"/>
        <w:rPr>
          <w:color w:val="auto"/>
          <w:highlight w:val="none"/>
        </w:rPr>
      </w:pPr>
    </w:p>
    <w:p>
      <w:pPr>
        <w:pStyle w:val="30"/>
        <w:tabs>
          <w:tab w:val="right" w:leader="dot" w:pos="8959"/>
          <w:tab w:val="clear" w:pos="8949"/>
        </w:tabs>
      </w:pPr>
      <w:r>
        <w:rPr>
          <w:b w:val="0"/>
          <w:bCs w:val="0"/>
          <w:caps w:val="0"/>
          <w:color w:val="auto"/>
          <w:highlight w:val="none"/>
        </w:rPr>
        <w:fldChar w:fldCharType="begin"/>
      </w:r>
      <w:r>
        <w:rPr>
          <w:b w:val="0"/>
          <w:bCs w:val="0"/>
          <w:caps w:val="0"/>
          <w:color w:val="auto"/>
          <w:highlight w:val="none"/>
        </w:rPr>
        <w:instrText xml:space="preserve"> TOC \o "1-3" \h \z \u </w:instrText>
      </w:r>
      <w:r>
        <w:rPr>
          <w:b w:val="0"/>
          <w:bCs w:val="0"/>
          <w:caps w:val="0"/>
          <w:color w:val="auto"/>
          <w:highlight w:val="none"/>
        </w:rPr>
        <w:fldChar w:fldCharType="separate"/>
      </w:r>
      <w:r>
        <w:rPr>
          <w:bCs w:val="0"/>
          <w:caps w:val="0"/>
          <w:color w:val="auto"/>
          <w:highlight w:val="none"/>
        </w:rPr>
        <w:fldChar w:fldCharType="begin"/>
      </w:r>
      <w:r>
        <w:rPr>
          <w:bCs w:val="0"/>
          <w:caps w:val="0"/>
          <w:highlight w:val="none"/>
        </w:rPr>
        <w:instrText xml:space="preserve"> HYPERLINK \l _Toc2897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_Toc2897 \h </w:instrText>
      </w:r>
      <w:r>
        <w:fldChar w:fldCharType="separate"/>
      </w:r>
      <w:r>
        <w:t>5</w:t>
      </w:r>
      <w:r>
        <w:fldChar w:fldCharType="end"/>
      </w:r>
      <w:r>
        <w:rPr>
          <w:bCs w:val="0"/>
          <w:caps w:val="0"/>
          <w:color w:val="auto"/>
          <w:highlight w:val="none"/>
        </w:rPr>
        <w:fldChar w:fldCharType="end"/>
      </w:r>
    </w:p>
    <w:p>
      <w:pPr>
        <w:pStyle w:val="30"/>
        <w:tabs>
          <w:tab w:val="right" w:leader="dot" w:pos="8959"/>
          <w:tab w:val="clear" w:pos="8949"/>
        </w:tabs>
      </w:pPr>
      <w:r>
        <w:rPr>
          <w:bCs/>
          <w:caps/>
          <w:color w:val="auto"/>
          <w:szCs w:val="21"/>
          <w:highlight w:val="none"/>
        </w:rPr>
        <w:fldChar w:fldCharType="begin"/>
      </w:r>
      <w:r>
        <w:rPr>
          <w:bCs/>
          <w:caps/>
          <w:szCs w:val="21"/>
          <w:highlight w:val="none"/>
        </w:rPr>
        <w:instrText xml:space="preserve"> HYPERLINK \l _Toc2615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_Toc2615 \h </w:instrText>
      </w:r>
      <w:r>
        <w:fldChar w:fldCharType="separate"/>
      </w:r>
      <w:r>
        <w:t>7</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_Toc2404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_Toc2404 \h </w:instrText>
      </w:r>
      <w:r>
        <w:fldChar w:fldCharType="separate"/>
      </w:r>
      <w:r>
        <w:t>7</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_Toc19566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_Toc19566 \h </w:instrText>
      </w:r>
      <w:r>
        <w:fldChar w:fldCharType="separate"/>
      </w:r>
      <w:r>
        <w:t>9</w:t>
      </w:r>
      <w:r>
        <w:fldChar w:fldCharType="end"/>
      </w:r>
      <w:r>
        <w:rPr>
          <w:bCs/>
          <w:caps/>
          <w:color w:val="auto"/>
          <w:szCs w:val="21"/>
          <w:highlight w:val="none"/>
        </w:rPr>
        <w:fldChar w:fldCharType="end"/>
      </w:r>
    </w:p>
    <w:p>
      <w:pPr>
        <w:pStyle w:val="30"/>
        <w:tabs>
          <w:tab w:val="right" w:leader="dot" w:pos="8959"/>
          <w:tab w:val="clear" w:pos="8949"/>
        </w:tabs>
      </w:pPr>
      <w:r>
        <w:rPr>
          <w:bCs/>
          <w:caps/>
          <w:color w:val="auto"/>
          <w:szCs w:val="21"/>
          <w:highlight w:val="none"/>
        </w:rPr>
        <w:fldChar w:fldCharType="begin"/>
      </w:r>
      <w:r>
        <w:rPr>
          <w:bCs/>
          <w:caps/>
          <w:szCs w:val="21"/>
          <w:highlight w:val="none"/>
        </w:rPr>
        <w:instrText xml:space="preserve"> HYPERLINK \l _Toc25866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_Toc25866 \h </w:instrText>
      </w:r>
      <w:r>
        <w:fldChar w:fldCharType="separate"/>
      </w:r>
      <w:r>
        <w:t>13</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_Toc19385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_Toc19385 \h </w:instrText>
      </w:r>
      <w:r>
        <w:fldChar w:fldCharType="separate"/>
      </w:r>
      <w:r>
        <w:t>13</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_Toc17683 </w:instrText>
      </w:r>
      <w:r>
        <w:rPr>
          <w:bCs/>
          <w:caps/>
          <w:szCs w:val="21"/>
          <w:highlight w:val="none"/>
        </w:rPr>
        <w:fldChar w:fldCharType="separate"/>
      </w:r>
      <w:r>
        <w:rPr>
          <w:rFonts w:hint="eastAsia"/>
          <w:highlight w:val="none"/>
        </w:rPr>
        <w:t>Ａ说明</w:t>
      </w:r>
      <w:r>
        <w:tab/>
      </w:r>
      <w:r>
        <w:fldChar w:fldCharType="begin"/>
      </w:r>
      <w:r>
        <w:instrText xml:space="preserve"> PAGEREF _Toc17683 \h </w:instrText>
      </w:r>
      <w:r>
        <w:fldChar w:fldCharType="separate"/>
      </w:r>
      <w:r>
        <w:t>14</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_Toc21505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_Toc21505 \h </w:instrText>
      </w:r>
      <w:r>
        <w:fldChar w:fldCharType="separate"/>
      </w:r>
      <w:r>
        <w:t>14</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_Toc27829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_Toc27829 \h </w:instrText>
      </w:r>
      <w:r>
        <w:fldChar w:fldCharType="separate"/>
      </w:r>
      <w:r>
        <w:t>14</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_Toc28364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_Toc28364 \h </w:instrText>
      </w:r>
      <w:r>
        <w:fldChar w:fldCharType="separate"/>
      </w:r>
      <w:r>
        <w:t>14</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_Toc28130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_Toc28130 \h </w:instrText>
      </w:r>
      <w:r>
        <w:fldChar w:fldCharType="separate"/>
      </w:r>
      <w:r>
        <w:t>15</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_Toc25281 </w:instrText>
      </w:r>
      <w:r>
        <w:rPr>
          <w:bCs/>
          <w:caps/>
          <w:szCs w:val="21"/>
          <w:highlight w:val="none"/>
        </w:rPr>
        <w:fldChar w:fldCharType="separate"/>
      </w:r>
      <w:r>
        <w:rPr>
          <w:rFonts w:hint="eastAsia"/>
          <w:highlight w:val="none"/>
        </w:rPr>
        <w:t>Ｂ招标文件说明</w:t>
      </w:r>
      <w:r>
        <w:tab/>
      </w:r>
      <w:r>
        <w:fldChar w:fldCharType="begin"/>
      </w:r>
      <w:r>
        <w:instrText xml:space="preserve"> PAGEREF _Toc25281 \h </w:instrText>
      </w:r>
      <w:r>
        <w:fldChar w:fldCharType="separate"/>
      </w:r>
      <w:r>
        <w:t>15</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_Toc26420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_Toc26420 \h </w:instrText>
      </w:r>
      <w:r>
        <w:fldChar w:fldCharType="separate"/>
      </w:r>
      <w:r>
        <w:t>15</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_Toc17495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_Toc17495 \h </w:instrText>
      </w:r>
      <w:r>
        <w:fldChar w:fldCharType="separate"/>
      </w:r>
      <w:r>
        <w:t>15</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_Toc29288 </w:instrText>
      </w:r>
      <w:r>
        <w:rPr>
          <w:bCs/>
          <w:caps/>
          <w:szCs w:val="21"/>
          <w:highlight w:val="none"/>
        </w:rPr>
        <w:fldChar w:fldCharType="separate"/>
      </w:r>
      <w:r>
        <w:rPr>
          <w:rFonts w:hint="eastAsia"/>
          <w:highlight w:val="none"/>
        </w:rPr>
        <w:t>Ｃ投标文件的编制</w:t>
      </w:r>
      <w:r>
        <w:tab/>
      </w:r>
      <w:r>
        <w:fldChar w:fldCharType="begin"/>
      </w:r>
      <w:r>
        <w:instrText xml:space="preserve"> PAGEREF _Toc29288 \h </w:instrText>
      </w:r>
      <w:r>
        <w:fldChar w:fldCharType="separate"/>
      </w:r>
      <w:r>
        <w:t>16</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_Toc18677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_Toc18677 \h </w:instrText>
      </w:r>
      <w:r>
        <w:fldChar w:fldCharType="separate"/>
      </w:r>
      <w:r>
        <w:t>16</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_Toc20349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_Toc20349 \h </w:instrText>
      </w:r>
      <w:r>
        <w:fldChar w:fldCharType="separate"/>
      </w:r>
      <w:r>
        <w:t>16</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_Toc22537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_Toc22537 \h </w:instrText>
      </w:r>
      <w:r>
        <w:fldChar w:fldCharType="separate"/>
      </w:r>
      <w:r>
        <w:t>16</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_Toc31212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_Toc31212 \h </w:instrText>
      </w:r>
      <w:r>
        <w:fldChar w:fldCharType="separate"/>
      </w:r>
      <w:r>
        <w:t>16</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_Toc29152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_Toc29152 \h </w:instrText>
      </w:r>
      <w:r>
        <w:fldChar w:fldCharType="separate"/>
      </w:r>
      <w:r>
        <w:t>16</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_Toc158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_Toc158 \h </w:instrText>
      </w:r>
      <w:r>
        <w:fldChar w:fldCharType="separate"/>
      </w:r>
      <w:r>
        <w:t>17</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_Toc586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_Toc586 \h </w:instrText>
      </w:r>
      <w:r>
        <w:fldChar w:fldCharType="separate"/>
      </w:r>
      <w:r>
        <w:t>17</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_Toc32387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_Toc32387 \h </w:instrText>
      </w:r>
      <w:r>
        <w:fldChar w:fldCharType="separate"/>
      </w:r>
      <w:r>
        <w:t>18</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_Toc9549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_Toc9549 \h </w:instrText>
      </w:r>
      <w:r>
        <w:fldChar w:fldCharType="separate"/>
      </w:r>
      <w:r>
        <w:t>18</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_Toc16638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_Toc16638 \h </w:instrText>
      </w:r>
      <w:r>
        <w:fldChar w:fldCharType="separate"/>
      </w:r>
      <w:r>
        <w:t>18</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_Toc22129 </w:instrText>
      </w:r>
      <w:r>
        <w:rPr>
          <w:bCs/>
          <w:caps/>
          <w:szCs w:val="21"/>
          <w:highlight w:val="none"/>
        </w:rPr>
        <w:fldChar w:fldCharType="separate"/>
      </w:r>
      <w:r>
        <w:rPr>
          <w:rFonts w:hint="eastAsia"/>
          <w:highlight w:val="none"/>
        </w:rPr>
        <w:t>Ｄ投标文件的递交</w:t>
      </w:r>
      <w:r>
        <w:tab/>
      </w:r>
      <w:r>
        <w:fldChar w:fldCharType="begin"/>
      </w:r>
      <w:r>
        <w:instrText xml:space="preserve"> PAGEREF _Toc22129 \h </w:instrText>
      </w:r>
      <w:r>
        <w:fldChar w:fldCharType="separate"/>
      </w:r>
      <w:r>
        <w:t>19</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_Toc21113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_Toc21113 \h </w:instrText>
      </w:r>
      <w:r>
        <w:fldChar w:fldCharType="separate"/>
      </w:r>
      <w:r>
        <w:t>19</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_Toc1899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_Toc1899 \h </w:instrText>
      </w:r>
      <w:r>
        <w:fldChar w:fldCharType="separate"/>
      </w:r>
      <w:r>
        <w:t>19</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_Toc4837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_Toc4837 \h </w:instrText>
      </w:r>
      <w:r>
        <w:fldChar w:fldCharType="separate"/>
      </w:r>
      <w:r>
        <w:t>19</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_Toc16695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_Toc16695 \h </w:instrText>
      </w:r>
      <w:r>
        <w:fldChar w:fldCharType="separate"/>
      </w:r>
      <w:r>
        <w:t>19</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_Toc5362 </w:instrText>
      </w:r>
      <w:r>
        <w:rPr>
          <w:bCs/>
          <w:caps/>
          <w:szCs w:val="21"/>
          <w:highlight w:val="none"/>
        </w:rPr>
        <w:fldChar w:fldCharType="separate"/>
      </w:r>
      <w:r>
        <w:rPr>
          <w:rFonts w:hint="eastAsia"/>
          <w:highlight w:val="none"/>
        </w:rPr>
        <w:t>Ｅ开标和评标</w:t>
      </w:r>
      <w:r>
        <w:tab/>
      </w:r>
      <w:r>
        <w:fldChar w:fldCharType="begin"/>
      </w:r>
      <w:r>
        <w:instrText xml:space="preserve"> PAGEREF _Toc5362 \h </w:instrText>
      </w:r>
      <w:r>
        <w:fldChar w:fldCharType="separate"/>
      </w:r>
      <w:r>
        <w:t>20</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_Toc19163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_Toc19163 \h </w:instrText>
      </w:r>
      <w:r>
        <w:fldChar w:fldCharType="separate"/>
      </w:r>
      <w:r>
        <w:t>20</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_Toc28222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_Toc28222 \h </w:instrText>
      </w:r>
      <w:r>
        <w:fldChar w:fldCharType="separate"/>
      </w:r>
      <w:r>
        <w:t>20</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_Toc27499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_Toc27499 \h </w:instrText>
      </w:r>
      <w:r>
        <w:fldChar w:fldCharType="separate"/>
      </w:r>
      <w:r>
        <w:t>20</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_Toc22993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_Toc22993 \h </w:instrText>
      </w:r>
      <w:r>
        <w:fldChar w:fldCharType="separate"/>
      </w:r>
      <w:r>
        <w:t>21</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_Toc18696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_Toc18696 \h </w:instrText>
      </w:r>
      <w:r>
        <w:fldChar w:fldCharType="separate"/>
      </w:r>
      <w:r>
        <w:t>21</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_Toc18332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_Toc18332 \h </w:instrText>
      </w:r>
      <w:r>
        <w:fldChar w:fldCharType="separate"/>
      </w:r>
      <w:r>
        <w:t>22</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_Toc13544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_Toc13544 \h </w:instrText>
      </w:r>
      <w:r>
        <w:fldChar w:fldCharType="separate"/>
      </w:r>
      <w:r>
        <w:t>22</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_Toc2265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_Toc2265 \h </w:instrText>
      </w:r>
      <w:r>
        <w:fldChar w:fldCharType="separate"/>
      </w:r>
      <w:r>
        <w:t>22</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_Toc29879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_Toc29879 \h </w:instrText>
      </w:r>
      <w:r>
        <w:fldChar w:fldCharType="separate"/>
      </w:r>
      <w:r>
        <w:t>22</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_Toc2172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_Toc2172 \h </w:instrText>
      </w:r>
      <w:r>
        <w:fldChar w:fldCharType="separate"/>
      </w:r>
      <w:r>
        <w:t>22</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_Toc23493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_Toc23493 \h </w:instrText>
      </w:r>
      <w:r>
        <w:fldChar w:fldCharType="separate"/>
      </w:r>
      <w:r>
        <w:t>23</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_Toc14354 </w:instrText>
      </w:r>
      <w:r>
        <w:rPr>
          <w:bCs/>
          <w:caps/>
          <w:szCs w:val="21"/>
          <w:highlight w:val="none"/>
        </w:rPr>
        <w:fldChar w:fldCharType="separate"/>
      </w:r>
      <w:r>
        <w:rPr>
          <w:rFonts w:hint="eastAsia"/>
          <w:highlight w:val="none"/>
        </w:rPr>
        <w:t>Ｆ  授予合同</w:t>
      </w:r>
      <w:r>
        <w:tab/>
      </w:r>
      <w:r>
        <w:fldChar w:fldCharType="begin"/>
      </w:r>
      <w:r>
        <w:instrText xml:space="preserve"> PAGEREF _Toc14354 \h </w:instrText>
      </w:r>
      <w:r>
        <w:fldChar w:fldCharType="separate"/>
      </w:r>
      <w:r>
        <w:t>24</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_Toc23263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_Toc23263 \h </w:instrText>
      </w:r>
      <w:r>
        <w:fldChar w:fldCharType="separate"/>
      </w:r>
      <w:r>
        <w:t>24</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_Toc23754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_Toc23754 \h </w:instrText>
      </w:r>
      <w:r>
        <w:fldChar w:fldCharType="separate"/>
      </w:r>
      <w:r>
        <w:t>24</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_Toc9163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_Toc9163 \h </w:instrText>
      </w:r>
      <w:r>
        <w:fldChar w:fldCharType="separate"/>
      </w:r>
      <w:r>
        <w:t>25</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_Toc1391 </w:instrText>
      </w:r>
      <w:r>
        <w:rPr>
          <w:bCs/>
          <w:caps/>
          <w:szCs w:val="21"/>
          <w:highlight w:val="none"/>
        </w:rPr>
        <w:fldChar w:fldCharType="separate"/>
      </w:r>
      <w:r>
        <w:rPr>
          <w:rFonts w:hint="eastAsia"/>
          <w:highlight w:val="none"/>
        </w:rPr>
        <w:t>H、评标细则</w:t>
      </w:r>
      <w:r>
        <w:tab/>
      </w:r>
      <w:r>
        <w:fldChar w:fldCharType="begin"/>
      </w:r>
      <w:r>
        <w:instrText xml:space="preserve"> PAGEREF _Toc1391 \h </w:instrText>
      </w:r>
      <w:r>
        <w:fldChar w:fldCharType="separate"/>
      </w:r>
      <w:r>
        <w:t>27</w:t>
      </w:r>
      <w:r>
        <w:fldChar w:fldCharType="end"/>
      </w:r>
      <w:r>
        <w:rPr>
          <w:bCs/>
          <w:caps/>
          <w:color w:val="auto"/>
          <w:szCs w:val="21"/>
          <w:highlight w:val="none"/>
        </w:rPr>
        <w:fldChar w:fldCharType="end"/>
      </w:r>
    </w:p>
    <w:p>
      <w:pPr>
        <w:pStyle w:val="30"/>
        <w:tabs>
          <w:tab w:val="right" w:leader="dot" w:pos="8959"/>
          <w:tab w:val="clear" w:pos="8949"/>
        </w:tabs>
      </w:pPr>
      <w:r>
        <w:rPr>
          <w:bCs/>
          <w:caps/>
          <w:color w:val="auto"/>
          <w:szCs w:val="21"/>
          <w:highlight w:val="none"/>
        </w:rPr>
        <w:fldChar w:fldCharType="begin"/>
      </w:r>
      <w:r>
        <w:rPr>
          <w:bCs/>
          <w:caps/>
          <w:szCs w:val="21"/>
          <w:highlight w:val="none"/>
        </w:rPr>
        <w:instrText xml:space="preserve"> HYPERLINK \l _Toc9658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_Toc9658 \h </w:instrText>
      </w:r>
      <w:r>
        <w:fldChar w:fldCharType="separate"/>
      </w:r>
      <w:r>
        <w:t>29</w:t>
      </w:r>
      <w:r>
        <w:fldChar w:fldCharType="end"/>
      </w:r>
      <w:r>
        <w:rPr>
          <w:bCs/>
          <w:caps/>
          <w:color w:val="auto"/>
          <w:szCs w:val="21"/>
          <w:highlight w:val="none"/>
        </w:rPr>
        <w:fldChar w:fldCharType="end"/>
      </w:r>
    </w:p>
    <w:p>
      <w:pPr>
        <w:pStyle w:val="30"/>
        <w:tabs>
          <w:tab w:val="right" w:leader="dot" w:pos="8959"/>
          <w:tab w:val="clear" w:pos="8949"/>
        </w:tabs>
      </w:pPr>
      <w:r>
        <w:rPr>
          <w:bCs/>
          <w:caps/>
          <w:color w:val="auto"/>
          <w:szCs w:val="21"/>
          <w:highlight w:val="none"/>
        </w:rPr>
        <w:fldChar w:fldCharType="begin"/>
      </w:r>
      <w:r>
        <w:rPr>
          <w:bCs/>
          <w:caps/>
          <w:szCs w:val="21"/>
          <w:highlight w:val="none"/>
        </w:rPr>
        <w:instrText xml:space="preserve"> HYPERLINK \l _Toc31142 </w:instrText>
      </w:r>
      <w:r>
        <w:rPr>
          <w:bCs/>
          <w:caps/>
          <w:szCs w:val="21"/>
          <w:highlight w:val="none"/>
        </w:rPr>
        <w:fldChar w:fldCharType="separate"/>
      </w:r>
      <w:r>
        <w:rPr>
          <w:rFonts w:hint="eastAsia"/>
          <w:highlight w:val="none"/>
        </w:rPr>
        <w:t>第五部分投标文件格式</w:t>
      </w:r>
      <w:r>
        <w:tab/>
      </w:r>
      <w:r>
        <w:fldChar w:fldCharType="begin"/>
      </w:r>
      <w:r>
        <w:instrText xml:space="preserve"> PAGEREF _Toc31142 \h </w:instrText>
      </w:r>
      <w:r>
        <w:fldChar w:fldCharType="separate"/>
      </w:r>
      <w:r>
        <w:t>32</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_Toc4652 </w:instrText>
      </w:r>
      <w:r>
        <w:rPr>
          <w:bCs/>
          <w:caps/>
          <w:szCs w:val="21"/>
          <w:highlight w:val="none"/>
        </w:rPr>
        <w:fldChar w:fldCharType="separate"/>
      </w:r>
      <w:r>
        <w:rPr>
          <w:rFonts w:hint="eastAsia"/>
          <w:highlight w:val="none"/>
        </w:rPr>
        <w:t>资格审查封面格式</w:t>
      </w:r>
      <w:r>
        <w:tab/>
      </w:r>
      <w:r>
        <w:fldChar w:fldCharType="begin"/>
      </w:r>
      <w:r>
        <w:instrText xml:space="preserve"> PAGEREF _Toc4652 \h </w:instrText>
      </w:r>
      <w:r>
        <w:fldChar w:fldCharType="separate"/>
      </w:r>
      <w:r>
        <w:t>32</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_Toc13229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_Toc13229 \h </w:instrText>
      </w:r>
      <w:r>
        <w:fldChar w:fldCharType="separate"/>
      </w:r>
      <w:r>
        <w:t>34</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_Toc22044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_Toc22044 \h </w:instrText>
      </w:r>
      <w:r>
        <w:fldChar w:fldCharType="separate"/>
      </w:r>
      <w:r>
        <w:t>34</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_Toc16743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_Toc16743 \h </w:instrText>
      </w:r>
      <w:r>
        <w:fldChar w:fldCharType="separate"/>
      </w:r>
      <w:r>
        <w:t>35</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_Toc4465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_Toc4465 \h </w:instrText>
      </w:r>
      <w:r>
        <w:fldChar w:fldCharType="separate"/>
      </w:r>
      <w:r>
        <w:t>36</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_Toc3710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_Toc3710 \h </w:instrText>
      </w:r>
      <w:r>
        <w:fldChar w:fldCharType="separate"/>
      </w:r>
      <w:r>
        <w:t>37</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_Toc9988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_Toc9988 \h </w:instrText>
      </w:r>
      <w:r>
        <w:fldChar w:fldCharType="separate"/>
      </w:r>
      <w:r>
        <w:t>37</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_Toc26848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_Toc26848 \h </w:instrText>
      </w:r>
      <w:r>
        <w:fldChar w:fldCharType="separate"/>
      </w:r>
      <w:r>
        <w:t>39</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_Toc4533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_Toc4533 \h </w:instrText>
      </w:r>
      <w:r>
        <w:fldChar w:fldCharType="separate"/>
      </w:r>
      <w:r>
        <w:t>40</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_Toc23015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_Toc23015 \h </w:instrText>
      </w:r>
      <w:r>
        <w:fldChar w:fldCharType="separate"/>
      </w:r>
      <w:r>
        <w:t>41</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_Toc20336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_Toc20336 \h </w:instrText>
      </w:r>
      <w:r>
        <w:fldChar w:fldCharType="separate"/>
      </w:r>
      <w:r>
        <w:t>42</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_Toc483 </w:instrText>
      </w:r>
      <w:r>
        <w:rPr>
          <w:bCs/>
          <w:caps/>
          <w:szCs w:val="21"/>
          <w:highlight w:val="none"/>
        </w:rPr>
        <w:fldChar w:fldCharType="separate"/>
      </w:r>
      <w:r>
        <w:rPr>
          <w:rFonts w:hint="eastAsia"/>
          <w:highlight w:val="none"/>
        </w:rPr>
        <w:t>附件一：投标函</w:t>
      </w:r>
      <w:r>
        <w:tab/>
      </w:r>
      <w:r>
        <w:fldChar w:fldCharType="begin"/>
      </w:r>
      <w:r>
        <w:instrText xml:space="preserve"> PAGEREF _Toc483 \h </w:instrText>
      </w:r>
      <w:r>
        <w:fldChar w:fldCharType="separate"/>
      </w:r>
      <w:r>
        <w:t>43</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_Toc30993 </w:instrText>
      </w:r>
      <w:r>
        <w:rPr>
          <w:bCs/>
          <w:caps/>
          <w:szCs w:val="21"/>
          <w:highlight w:val="none"/>
        </w:rPr>
        <w:fldChar w:fldCharType="separate"/>
      </w:r>
      <w:r>
        <w:rPr>
          <w:rFonts w:hint="eastAsia"/>
          <w:highlight w:val="none"/>
        </w:rPr>
        <w:t>附件二：开标一览表</w:t>
      </w:r>
      <w:r>
        <w:tab/>
      </w:r>
      <w:r>
        <w:fldChar w:fldCharType="begin"/>
      </w:r>
      <w:r>
        <w:instrText xml:space="preserve"> PAGEREF _Toc30993 \h </w:instrText>
      </w:r>
      <w:r>
        <w:fldChar w:fldCharType="separate"/>
      </w:r>
      <w:r>
        <w:t>44</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_Toc20711 </w:instrText>
      </w:r>
      <w:r>
        <w:rPr>
          <w:bCs/>
          <w:caps/>
          <w:szCs w:val="21"/>
          <w:highlight w:val="none"/>
        </w:rPr>
        <w:fldChar w:fldCharType="separate"/>
      </w:r>
      <w:r>
        <w:rPr>
          <w:rFonts w:hint="eastAsia"/>
          <w:highlight w:val="none"/>
        </w:rPr>
        <w:t>附件三：商务条款偏离一览表</w:t>
      </w:r>
      <w:r>
        <w:tab/>
      </w:r>
      <w:r>
        <w:fldChar w:fldCharType="begin"/>
      </w:r>
      <w:r>
        <w:instrText xml:space="preserve"> PAGEREF _Toc20711 \h </w:instrText>
      </w:r>
      <w:r>
        <w:fldChar w:fldCharType="separate"/>
      </w:r>
      <w:r>
        <w:t>45</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_Toc5750 </w:instrText>
      </w:r>
      <w:r>
        <w:rPr>
          <w:bCs/>
          <w:caps/>
          <w:szCs w:val="21"/>
          <w:highlight w:val="none"/>
        </w:rPr>
        <w:fldChar w:fldCharType="separate"/>
      </w:r>
      <w:r>
        <w:rPr>
          <w:rFonts w:hint="eastAsia"/>
          <w:highlight w:val="none"/>
        </w:rPr>
        <w:t>附件</w:t>
      </w:r>
      <w:r>
        <w:rPr>
          <w:rFonts w:hint="eastAsia"/>
          <w:highlight w:val="none"/>
          <w:lang w:val="en-US" w:eastAsia="zh-CN"/>
        </w:rPr>
        <w:t>四</w:t>
      </w:r>
      <w:r>
        <w:rPr>
          <w:rFonts w:hint="eastAsia"/>
          <w:highlight w:val="none"/>
        </w:rPr>
        <w:t>：技术条款偏离一览表</w:t>
      </w:r>
      <w:r>
        <w:tab/>
      </w:r>
      <w:r>
        <w:fldChar w:fldCharType="begin"/>
      </w:r>
      <w:r>
        <w:instrText xml:space="preserve"> PAGEREF _Toc5750 \h </w:instrText>
      </w:r>
      <w:r>
        <w:fldChar w:fldCharType="separate"/>
      </w:r>
      <w:r>
        <w:t>46</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_Toc3844 </w:instrText>
      </w:r>
      <w:r>
        <w:rPr>
          <w:bCs/>
          <w:caps/>
          <w:szCs w:val="21"/>
          <w:highlight w:val="none"/>
        </w:rPr>
        <w:fldChar w:fldCharType="separate"/>
      </w:r>
      <w:r>
        <w:rPr>
          <w:rFonts w:hint="eastAsia"/>
          <w:highlight w:val="none"/>
        </w:rPr>
        <w:t>附件</w:t>
      </w:r>
      <w:r>
        <w:rPr>
          <w:rFonts w:hint="eastAsia"/>
          <w:highlight w:val="none"/>
          <w:lang w:val="en-US" w:eastAsia="zh-CN"/>
        </w:rPr>
        <w:t>五</w:t>
      </w:r>
      <w:r>
        <w:rPr>
          <w:rFonts w:hint="eastAsia"/>
          <w:highlight w:val="none"/>
        </w:rPr>
        <w:t>：同类业绩一览表</w:t>
      </w:r>
      <w:r>
        <w:tab/>
      </w:r>
      <w:r>
        <w:fldChar w:fldCharType="begin"/>
      </w:r>
      <w:r>
        <w:instrText xml:space="preserve"> PAGEREF _Toc3844 \h </w:instrText>
      </w:r>
      <w:r>
        <w:fldChar w:fldCharType="separate"/>
      </w:r>
      <w:r>
        <w:t>47</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_Toc30807 </w:instrText>
      </w:r>
      <w:r>
        <w:rPr>
          <w:bCs/>
          <w:caps/>
          <w:szCs w:val="21"/>
          <w:highlight w:val="none"/>
        </w:rPr>
        <w:fldChar w:fldCharType="separate"/>
      </w:r>
      <w:r>
        <w:rPr>
          <w:rFonts w:hint="eastAsia"/>
          <w:highlight w:val="none"/>
        </w:rPr>
        <w:t>附件</w:t>
      </w:r>
      <w:r>
        <w:rPr>
          <w:rFonts w:hint="eastAsia"/>
          <w:highlight w:val="none"/>
          <w:lang w:val="en-US" w:eastAsia="zh-CN"/>
        </w:rPr>
        <w:t>六</w:t>
      </w:r>
      <w:r>
        <w:rPr>
          <w:rFonts w:hint="eastAsia"/>
          <w:highlight w:val="none"/>
        </w:rPr>
        <w:t>：</w:t>
      </w:r>
      <w:r>
        <w:rPr>
          <w:rFonts w:hint="eastAsia" w:hAnsi="黑体" w:cs="黑体"/>
          <w:highlight w:val="none"/>
        </w:rPr>
        <w:t>中小微企业声明函</w:t>
      </w:r>
      <w:r>
        <w:tab/>
      </w:r>
      <w:r>
        <w:fldChar w:fldCharType="begin"/>
      </w:r>
      <w:r>
        <w:instrText xml:space="preserve"> PAGEREF _Toc30807 \h </w:instrText>
      </w:r>
      <w:r>
        <w:fldChar w:fldCharType="separate"/>
      </w:r>
      <w:r>
        <w:t>48</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_Toc30553 </w:instrText>
      </w:r>
      <w:r>
        <w:rPr>
          <w:bCs/>
          <w:caps/>
          <w:szCs w:val="21"/>
          <w:highlight w:val="none"/>
        </w:rPr>
        <w:fldChar w:fldCharType="separate"/>
      </w:r>
      <w:r>
        <w:rPr>
          <w:rFonts w:hint="eastAsia"/>
          <w:highlight w:val="none"/>
        </w:rPr>
        <w:t>附件</w:t>
      </w:r>
      <w:r>
        <w:rPr>
          <w:rFonts w:hint="eastAsia"/>
          <w:highlight w:val="none"/>
          <w:lang w:val="en-US" w:eastAsia="zh-CN"/>
        </w:rPr>
        <w:t>七</w:t>
      </w:r>
      <w:r>
        <w:rPr>
          <w:rFonts w:hint="eastAsia"/>
          <w:highlight w:val="none"/>
        </w:rPr>
        <w:t>：</w:t>
      </w:r>
      <w:r>
        <w:rPr>
          <w:rFonts w:hint="eastAsia" w:hAnsi="黑体" w:cs="黑体"/>
          <w:highlight w:val="none"/>
        </w:rPr>
        <w:t>残疾人福利性单位声明函</w:t>
      </w:r>
      <w:r>
        <w:tab/>
      </w:r>
      <w:r>
        <w:fldChar w:fldCharType="begin"/>
      </w:r>
      <w:r>
        <w:instrText xml:space="preserve"> PAGEREF _Toc30553 \h </w:instrText>
      </w:r>
      <w:r>
        <w:fldChar w:fldCharType="separate"/>
      </w:r>
      <w:r>
        <w:t>49</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_Toc28049 </w:instrText>
      </w:r>
      <w:r>
        <w:rPr>
          <w:bCs/>
          <w:caps/>
          <w:szCs w:val="21"/>
          <w:highlight w:val="none"/>
        </w:rPr>
        <w:fldChar w:fldCharType="separate"/>
      </w:r>
      <w:r>
        <w:rPr>
          <w:rFonts w:hint="eastAsia"/>
          <w:highlight w:val="none"/>
        </w:rPr>
        <w:t>附件</w:t>
      </w:r>
      <w:r>
        <w:rPr>
          <w:rFonts w:hint="eastAsia"/>
          <w:highlight w:val="none"/>
          <w:lang w:val="en-US" w:eastAsia="zh-CN"/>
        </w:rPr>
        <w:t>八</w:t>
      </w:r>
      <w:r>
        <w:rPr>
          <w:rFonts w:hint="eastAsia"/>
          <w:highlight w:val="none"/>
        </w:rPr>
        <w:t>：中标服务费承诺</w:t>
      </w:r>
      <w:r>
        <w:tab/>
      </w:r>
      <w:r>
        <w:fldChar w:fldCharType="begin"/>
      </w:r>
      <w:r>
        <w:instrText xml:space="preserve"> PAGEREF _Toc28049 \h </w:instrText>
      </w:r>
      <w:r>
        <w:fldChar w:fldCharType="separate"/>
      </w:r>
      <w:r>
        <w:t>50</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_Toc1183 </w:instrText>
      </w:r>
      <w:r>
        <w:rPr>
          <w:bCs/>
          <w:caps/>
          <w:szCs w:val="21"/>
          <w:highlight w:val="none"/>
        </w:rPr>
        <w:fldChar w:fldCharType="separate"/>
      </w:r>
      <w:r>
        <w:rPr>
          <w:rFonts w:hint="eastAsia"/>
          <w:highlight w:val="none"/>
        </w:rPr>
        <w:t>附件</w:t>
      </w:r>
      <w:r>
        <w:rPr>
          <w:rFonts w:hint="eastAsia"/>
          <w:highlight w:val="none"/>
          <w:lang w:val="en-US" w:eastAsia="zh-CN"/>
        </w:rPr>
        <w:t>九</w:t>
      </w:r>
      <w:r>
        <w:rPr>
          <w:rFonts w:hint="eastAsia"/>
          <w:highlight w:val="none"/>
        </w:rPr>
        <w:t>：投标人提交的其它商务和技术资料</w:t>
      </w:r>
      <w:r>
        <w:tab/>
      </w:r>
      <w:r>
        <w:fldChar w:fldCharType="begin"/>
      </w:r>
      <w:r>
        <w:instrText xml:space="preserve"> PAGEREF _Toc1183 \h </w:instrText>
      </w:r>
      <w:r>
        <w:fldChar w:fldCharType="separate"/>
      </w:r>
      <w:r>
        <w:t>51</w:t>
      </w:r>
      <w:r>
        <w:fldChar w:fldCharType="end"/>
      </w:r>
      <w:r>
        <w:rPr>
          <w:bCs/>
          <w:caps/>
          <w:color w:val="auto"/>
          <w:szCs w:val="21"/>
          <w:highlight w:val="none"/>
        </w:rPr>
        <w:fldChar w:fldCharType="end"/>
      </w:r>
    </w:p>
    <w:p>
      <w:pPr>
        <w:pStyle w:val="37"/>
        <w:tabs>
          <w:tab w:val="right" w:leader="dot" w:pos="8959"/>
          <w:tab w:val="clear" w:pos="8948"/>
        </w:tabs>
      </w:pPr>
      <w:r>
        <w:rPr>
          <w:bCs/>
          <w:caps/>
          <w:color w:val="auto"/>
          <w:szCs w:val="21"/>
          <w:highlight w:val="none"/>
        </w:rPr>
        <w:fldChar w:fldCharType="begin"/>
      </w:r>
      <w:r>
        <w:rPr>
          <w:bCs/>
          <w:caps/>
          <w:szCs w:val="21"/>
          <w:highlight w:val="none"/>
        </w:rPr>
        <w:instrText xml:space="preserve"> HYPERLINK \l _Toc6147 </w:instrText>
      </w:r>
      <w:r>
        <w:rPr>
          <w:bCs/>
          <w:caps/>
          <w:szCs w:val="21"/>
          <w:highlight w:val="none"/>
        </w:rPr>
        <w:fldChar w:fldCharType="separate"/>
      </w:r>
      <w:r>
        <w:rPr>
          <w:rFonts w:hint="eastAsia"/>
          <w:highlight w:val="none"/>
        </w:rPr>
        <w:t>其 他 格 式</w:t>
      </w:r>
      <w:r>
        <w:tab/>
      </w:r>
      <w:r>
        <w:fldChar w:fldCharType="begin"/>
      </w:r>
      <w:r>
        <w:instrText xml:space="preserve"> PAGEREF _Toc6147 \h </w:instrText>
      </w:r>
      <w:r>
        <w:fldChar w:fldCharType="separate"/>
      </w:r>
      <w:r>
        <w:t>52</w:t>
      </w:r>
      <w:r>
        <w:fldChar w:fldCharType="end"/>
      </w:r>
      <w:r>
        <w:rPr>
          <w:bCs/>
          <w:caps/>
          <w:color w:val="auto"/>
          <w:szCs w:val="21"/>
          <w:highlight w:val="none"/>
        </w:rPr>
        <w:fldChar w:fldCharType="end"/>
      </w:r>
    </w:p>
    <w:p>
      <w:pPr>
        <w:pStyle w:val="22"/>
        <w:tabs>
          <w:tab w:val="right" w:leader="dot" w:pos="8959"/>
          <w:tab w:val="clear" w:pos="840"/>
          <w:tab w:val="clear" w:pos="1004"/>
          <w:tab w:val="clear" w:pos="8948"/>
        </w:tabs>
      </w:pPr>
      <w:r>
        <w:rPr>
          <w:bCs/>
          <w:caps/>
          <w:color w:val="auto"/>
          <w:szCs w:val="21"/>
          <w:highlight w:val="none"/>
        </w:rPr>
        <w:fldChar w:fldCharType="begin"/>
      </w:r>
      <w:r>
        <w:rPr>
          <w:bCs/>
          <w:caps/>
          <w:szCs w:val="21"/>
          <w:highlight w:val="none"/>
        </w:rPr>
        <w:instrText xml:space="preserve"> HYPERLINK \l _Toc17179 </w:instrText>
      </w:r>
      <w:r>
        <w:rPr>
          <w:bCs/>
          <w:caps/>
          <w:szCs w:val="21"/>
          <w:highlight w:val="none"/>
        </w:rPr>
        <w:fldChar w:fldCharType="separate"/>
      </w:r>
      <w:r>
        <w:rPr>
          <w:rFonts w:hint="eastAsia" w:ascii="宋体" w:hAnsi="宋体" w:eastAsia="宋体"/>
          <w:highlight w:val="none"/>
        </w:rPr>
        <w:t>投标保证金退付书</w:t>
      </w:r>
      <w:r>
        <w:tab/>
      </w:r>
      <w:r>
        <w:fldChar w:fldCharType="begin"/>
      </w:r>
      <w:r>
        <w:instrText xml:space="preserve"> PAGEREF _Toc17179 \h </w:instrText>
      </w:r>
      <w:r>
        <w:fldChar w:fldCharType="separate"/>
      </w:r>
      <w:r>
        <w:t>53</w:t>
      </w:r>
      <w:r>
        <w:fldChar w:fldCharType="end"/>
      </w:r>
      <w:r>
        <w:rPr>
          <w:bCs/>
          <w:caps/>
          <w:color w:val="auto"/>
          <w:szCs w:val="21"/>
          <w:highlight w:val="none"/>
        </w:rPr>
        <w:fldChar w:fldCharType="end"/>
      </w:r>
    </w:p>
    <w:p>
      <w:pPr>
        <w:rPr>
          <w:color w:val="auto"/>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auto"/>
          <w:szCs w:val="21"/>
          <w:highlight w:val="none"/>
        </w:rPr>
        <w:fldChar w:fldCharType="end"/>
      </w:r>
    </w:p>
    <w:bookmarkEnd w:id="0"/>
    <w:p>
      <w:pPr>
        <w:pStyle w:val="3"/>
        <w:numPr>
          <w:ilvl w:val="0"/>
          <w:numId w:val="0"/>
        </w:numPr>
        <w:spacing w:beforeLines="0"/>
        <w:rPr>
          <w:color w:val="auto"/>
          <w:highlight w:val="none"/>
        </w:rPr>
      </w:pPr>
      <w:bookmarkStart w:id="1" w:name="_Toc337632315"/>
      <w:bookmarkStart w:id="2" w:name="_Toc339019954"/>
      <w:bookmarkStart w:id="3" w:name="_Toc331512856"/>
      <w:bookmarkStart w:id="4" w:name="_Toc341348291"/>
      <w:bookmarkStart w:id="5" w:name="_Toc340507403"/>
      <w:bookmarkStart w:id="6" w:name="_Toc366072457"/>
      <w:bookmarkStart w:id="7" w:name="_Toc365985108"/>
      <w:bookmarkStart w:id="8" w:name="_Toc333935619"/>
      <w:bookmarkStart w:id="9" w:name="_Toc342060322"/>
      <w:bookmarkStart w:id="10" w:name="_Toc339019828"/>
      <w:bookmarkStart w:id="11" w:name="_Toc342296708"/>
      <w:bookmarkStart w:id="12" w:name="_Toc333237723"/>
      <w:bookmarkStart w:id="13" w:name="_Toc332270305"/>
      <w:bookmarkStart w:id="14" w:name="_Toc339441044"/>
      <w:bookmarkStart w:id="15" w:name="_Toc349143546"/>
      <w:bookmarkStart w:id="16" w:name="_Toc340672830"/>
      <w:bookmarkStart w:id="17" w:name="_Toc339020186"/>
      <w:bookmarkStart w:id="18" w:name="_Toc339020048"/>
      <w:bookmarkStart w:id="19" w:name="_Toc330459945"/>
      <w:bookmarkStart w:id="20" w:name="_Toc332206657"/>
      <w:bookmarkStart w:id="21" w:name="_Toc365967002"/>
      <w:bookmarkStart w:id="22" w:name="_Toc333935278"/>
      <w:bookmarkStart w:id="23" w:name="_Toc350438702"/>
      <w:bookmarkStart w:id="24" w:name="_Toc350756403"/>
      <w:bookmarkStart w:id="25" w:name="_Toc349127583"/>
      <w:bookmarkStart w:id="26" w:name="_Toc336681537"/>
      <w:bookmarkStart w:id="27" w:name="_Toc336681892"/>
      <w:bookmarkStart w:id="28" w:name="_Toc333238571"/>
      <w:bookmarkStart w:id="29" w:name="_Toc331683994"/>
      <w:bookmarkStart w:id="30" w:name="_Toc333237612"/>
      <w:bookmarkStart w:id="31" w:name="_Toc339362257"/>
      <w:bookmarkStart w:id="32" w:name="_Toc345513762"/>
      <w:bookmarkStart w:id="33" w:name="_Toc340677031"/>
      <w:bookmarkStart w:id="34" w:name="_Toc2897"/>
      <w:bookmarkStart w:id="35" w:name="_Toc500860978"/>
      <w:r>
        <w:rPr>
          <w:rFonts w:hint="eastAsia"/>
          <w:color w:val="auto"/>
          <w:highlight w:val="none"/>
        </w:rPr>
        <w:t>第一</w:t>
      </w:r>
      <w:bookmarkStart w:id="36" w:name="_Hlt23321731"/>
      <w:bookmarkEnd w:id="36"/>
      <w:r>
        <w:rPr>
          <w:rFonts w:hint="eastAsia"/>
          <w:color w:val="auto"/>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auto"/>
          <w:highlight w:val="none"/>
        </w:rPr>
      </w:pPr>
      <w:r>
        <w:rPr>
          <w:rFonts w:hint="eastAsia" w:ascii="宋体" w:hAnsi="宋体"/>
          <w:bCs/>
          <w:color w:val="auto"/>
          <w:highlight w:val="none"/>
          <w:lang w:eastAsia="zh-CN"/>
        </w:rPr>
        <w:t>广东业信招标有限公司</w:t>
      </w:r>
      <w:r>
        <w:rPr>
          <w:rFonts w:hint="eastAsia" w:ascii="宋体" w:hAnsi="宋体"/>
          <w:bCs/>
          <w:color w:val="auto"/>
          <w:highlight w:val="none"/>
        </w:rPr>
        <w:t>（以下简称“代理采购机构”）受</w:t>
      </w:r>
      <w:r>
        <w:rPr>
          <w:rFonts w:hint="eastAsia" w:ascii="宋体" w:hAnsi="宋体"/>
          <w:bCs/>
          <w:color w:val="auto"/>
          <w:highlight w:val="none"/>
          <w:lang w:eastAsia="zh-CN"/>
        </w:rPr>
        <w:t>阳江市海陵岛经济开发试验区房管中心</w:t>
      </w:r>
      <w:r>
        <w:rPr>
          <w:rFonts w:hint="eastAsia" w:ascii="宋体" w:hAnsi="宋体"/>
          <w:bCs/>
          <w:color w:val="auto"/>
          <w:highlight w:val="none"/>
        </w:rPr>
        <w:t>（以下简称</w:t>
      </w:r>
      <w:r>
        <w:rPr>
          <w:rFonts w:ascii="宋体" w:hAnsi="宋体"/>
          <w:bCs/>
          <w:color w:val="auto"/>
          <w:highlight w:val="none"/>
        </w:rPr>
        <w:t>“</w:t>
      </w:r>
      <w:r>
        <w:rPr>
          <w:rFonts w:hint="eastAsia" w:ascii="宋体" w:hAnsi="宋体"/>
          <w:bCs/>
          <w:color w:val="auto"/>
          <w:highlight w:val="none"/>
        </w:rPr>
        <w:t>采购人</w:t>
      </w:r>
      <w:r>
        <w:rPr>
          <w:rFonts w:ascii="宋体" w:hAnsi="宋体"/>
          <w:bCs/>
          <w:color w:val="auto"/>
          <w:highlight w:val="none"/>
        </w:rPr>
        <w:t>”</w:t>
      </w:r>
      <w:r>
        <w:rPr>
          <w:rFonts w:hint="eastAsia" w:ascii="宋体" w:hAnsi="宋体"/>
          <w:bCs/>
          <w:color w:val="auto"/>
          <w:highlight w:val="none"/>
        </w:rPr>
        <w:t>）的委托，就</w:t>
      </w:r>
      <w:r>
        <w:rPr>
          <w:rFonts w:hint="eastAsia" w:ascii="宋体" w:hAnsi="宋体"/>
          <w:bCs/>
          <w:color w:val="auto"/>
          <w:highlight w:val="none"/>
          <w:lang w:eastAsia="zh-CN"/>
        </w:rPr>
        <w:t>阳江市海陵岛经济开发试验区房管中心物业维修基金专户代理银行采购项目（2022-2025）</w:t>
      </w:r>
      <w:r>
        <w:rPr>
          <w:rFonts w:hint="eastAsia" w:ascii="宋体" w:hAnsi="宋体"/>
          <w:bCs/>
          <w:color w:val="auto"/>
          <w:highlight w:val="none"/>
        </w:rPr>
        <w:t>进行公开招标(项目编号:</w:t>
      </w:r>
      <w:r>
        <w:rPr>
          <w:rFonts w:hint="eastAsia" w:ascii="宋体" w:hAnsi="宋体"/>
          <w:bCs/>
          <w:color w:val="auto"/>
          <w:highlight w:val="none"/>
          <w:lang w:eastAsia="zh-CN"/>
        </w:rPr>
        <w:t>YXZB-20220628</w:t>
      </w:r>
      <w:r>
        <w:rPr>
          <w:rFonts w:hint="eastAsia" w:ascii="宋体" w:hAnsi="宋体"/>
          <w:bCs/>
          <w:color w:val="auto"/>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宋体" w:hAnsi="宋体" w:cs="Tahoma"/>
          <w:b/>
          <w:bCs/>
          <w:color w:val="auto"/>
          <w:highlight w:val="none"/>
        </w:rPr>
        <w:t>一、</w:t>
      </w:r>
      <w:r>
        <w:rPr>
          <w:rFonts w:hint="eastAsia" w:ascii="Tahoma" w:hAnsi="Tahoma" w:cs="Tahoma"/>
          <w:b/>
          <w:bCs/>
          <w:color w:val="auto"/>
          <w:szCs w:val="21"/>
          <w:highlight w:val="none"/>
        </w:rPr>
        <w:t>招标项目的名称、用途、数量、采购方式</w:t>
      </w:r>
    </w:p>
    <w:p>
      <w:pPr>
        <w:keepNext w:val="0"/>
        <w:keepLines w:val="0"/>
        <w:pageBreakBefore w:val="0"/>
        <w:widowControl/>
        <w:numPr>
          <w:ilvl w:val="0"/>
          <w:numId w:val="0"/>
        </w:numPr>
        <w:tabs>
          <w:tab w:val="left" w:pos="220"/>
          <w:tab w:val="left" w:pos="735"/>
        </w:tabs>
        <w:kinsoku/>
        <w:wordWrap/>
        <w:overflowPunct/>
        <w:topLinePunct w:val="0"/>
        <w:autoSpaceDE/>
        <w:autoSpaceDN/>
        <w:bidi w:val="0"/>
        <w:adjustRightInd w:val="0"/>
        <w:snapToGrid w:val="0"/>
        <w:spacing w:line="380" w:lineRule="exact"/>
        <w:ind w:left="413" w:leftChars="104" w:hanging="195" w:hangingChars="93"/>
        <w:textAlignment w:val="auto"/>
        <w:rPr>
          <w:rFonts w:hint="eastAsia" w:ascii="宋体" w:hAnsi="宋体"/>
          <w:bCs/>
          <w:color w:val="auto"/>
          <w:highlight w:val="none"/>
          <w:lang w:eastAsia="zh-CN"/>
        </w:rPr>
      </w:pPr>
      <w:r>
        <w:rPr>
          <w:rFonts w:hint="eastAsia" w:ascii="宋体" w:hAnsi="宋体"/>
          <w:bCs/>
          <w:color w:val="auto"/>
          <w:highlight w:val="none"/>
          <w:lang w:val="en-US" w:eastAsia="zh-CN"/>
        </w:rPr>
        <w:t>1.</w:t>
      </w:r>
      <w:r>
        <w:rPr>
          <w:rFonts w:hint="eastAsia" w:ascii="宋体" w:hAnsi="宋体"/>
          <w:bCs/>
          <w:color w:val="auto"/>
          <w:highlight w:val="none"/>
        </w:rPr>
        <w:t>项目名称：</w:t>
      </w:r>
      <w:r>
        <w:rPr>
          <w:rFonts w:hint="eastAsia" w:ascii="宋体" w:hAnsi="宋体"/>
          <w:bCs/>
          <w:color w:val="auto"/>
          <w:highlight w:val="none"/>
          <w:lang w:eastAsia="zh-CN"/>
        </w:rPr>
        <w:t>阳江市海陵岛经济开发试验区房管中心物业维修基金专户代理银行采购项目（2022-2025）</w:t>
      </w:r>
    </w:p>
    <w:p>
      <w:pPr>
        <w:keepNext w:val="0"/>
        <w:keepLines w:val="0"/>
        <w:pageBreakBefore w:val="0"/>
        <w:widowControl/>
        <w:numPr>
          <w:ilvl w:val="0"/>
          <w:numId w:val="0"/>
        </w:numPr>
        <w:tabs>
          <w:tab w:val="left" w:pos="220"/>
          <w:tab w:val="left" w:pos="735"/>
        </w:tabs>
        <w:kinsoku/>
        <w:wordWrap/>
        <w:overflowPunct/>
        <w:topLinePunct w:val="0"/>
        <w:autoSpaceDE/>
        <w:autoSpaceDN/>
        <w:bidi w:val="0"/>
        <w:adjustRightInd w:val="0"/>
        <w:snapToGrid w:val="0"/>
        <w:spacing w:line="380" w:lineRule="exact"/>
        <w:ind w:left="413" w:leftChars="104" w:hanging="195" w:hangingChars="93"/>
        <w:textAlignment w:val="auto"/>
        <w:rPr>
          <w:rFonts w:hint="eastAsia" w:ascii="宋体" w:hAnsi="宋体"/>
          <w:bCs/>
          <w:color w:val="auto"/>
          <w:highlight w:val="none"/>
          <w:lang w:val="en-US" w:eastAsia="zh-CN"/>
        </w:rPr>
      </w:pPr>
      <w:r>
        <w:rPr>
          <w:rFonts w:hint="eastAsia" w:ascii="宋体" w:hAnsi="宋体"/>
          <w:bCs/>
          <w:color w:val="auto"/>
          <w:highlight w:val="none"/>
          <w:lang w:val="en-US" w:eastAsia="zh-CN"/>
        </w:rPr>
        <w:t>2.项目编号: YXZB-20220628</w:t>
      </w:r>
    </w:p>
    <w:p>
      <w:pPr>
        <w:keepNext w:val="0"/>
        <w:keepLines w:val="0"/>
        <w:pageBreakBefore w:val="0"/>
        <w:widowControl/>
        <w:numPr>
          <w:ilvl w:val="0"/>
          <w:numId w:val="0"/>
        </w:numPr>
        <w:tabs>
          <w:tab w:val="left" w:pos="220"/>
          <w:tab w:val="left" w:pos="735"/>
        </w:tabs>
        <w:kinsoku/>
        <w:wordWrap/>
        <w:overflowPunct/>
        <w:topLinePunct w:val="0"/>
        <w:autoSpaceDE/>
        <w:autoSpaceDN/>
        <w:bidi w:val="0"/>
        <w:adjustRightInd w:val="0"/>
        <w:snapToGrid w:val="0"/>
        <w:spacing w:line="380" w:lineRule="exact"/>
        <w:ind w:left="413" w:leftChars="104" w:hanging="195" w:hangingChars="93"/>
        <w:textAlignment w:val="auto"/>
        <w:rPr>
          <w:rFonts w:hint="eastAsia" w:ascii="宋体" w:hAnsi="宋体"/>
          <w:bCs/>
          <w:color w:val="auto"/>
          <w:highlight w:val="none"/>
          <w:lang w:val="en-US" w:eastAsia="zh-CN"/>
        </w:rPr>
      </w:pPr>
      <w:r>
        <w:rPr>
          <w:rFonts w:hint="eastAsia" w:ascii="宋体" w:hAnsi="宋体"/>
          <w:bCs/>
          <w:color w:val="auto"/>
          <w:highlight w:val="none"/>
          <w:lang w:val="en-US" w:eastAsia="zh-CN"/>
        </w:rPr>
        <w:t>3.数  量：一项</w:t>
      </w:r>
    </w:p>
    <w:p>
      <w:pPr>
        <w:keepNext w:val="0"/>
        <w:keepLines w:val="0"/>
        <w:pageBreakBefore w:val="0"/>
        <w:widowControl/>
        <w:numPr>
          <w:ilvl w:val="0"/>
          <w:numId w:val="0"/>
        </w:numPr>
        <w:tabs>
          <w:tab w:val="left" w:pos="220"/>
          <w:tab w:val="left" w:pos="735"/>
        </w:tabs>
        <w:kinsoku/>
        <w:wordWrap/>
        <w:overflowPunct/>
        <w:topLinePunct w:val="0"/>
        <w:autoSpaceDE/>
        <w:autoSpaceDN/>
        <w:bidi w:val="0"/>
        <w:adjustRightInd w:val="0"/>
        <w:snapToGrid w:val="0"/>
        <w:spacing w:line="380" w:lineRule="exact"/>
        <w:ind w:left="413" w:leftChars="104" w:hanging="195" w:hangingChars="93"/>
        <w:textAlignment w:val="auto"/>
        <w:rPr>
          <w:rFonts w:hint="eastAsia" w:ascii="宋体" w:hAnsi="宋体"/>
          <w:bCs/>
          <w:color w:val="auto"/>
          <w:highlight w:val="none"/>
        </w:rPr>
      </w:pPr>
      <w:r>
        <w:rPr>
          <w:rFonts w:hint="eastAsia" w:ascii="宋体" w:hAnsi="宋体"/>
          <w:b w:val="0"/>
          <w:bCs w:val="0"/>
          <w:color w:val="auto"/>
          <w:szCs w:val="21"/>
          <w:highlight w:val="none"/>
          <w:lang w:val="en-US" w:eastAsia="zh-CN"/>
        </w:rPr>
        <w:t>4.</w:t>
      </w:r>
      <w:r>
        <w:rPr>
          <w:rFonts w:hint="eastAsia" w:ascii="宋体" w:hAnsi="宋体"/>
          <w:b w:val="0"/>
          <w:bCs w:val="0"/>
          <w:color w:val="auto"/>
          <w:szCs w:val="21"/>
          <w:highlight w:val="none"/>
        </w:rPr>
        <w:t>服务期</w:t>
      </w:r>
      <w:r>
        <w:rPr>
          <w:rFonts w:hint="eastAsia" w:ascii="宋体" w:hAnsi="宋体"/>
          <w:b w:val="0"/>
          <w:bCs w:val="0"/>
          <w:color w:val="auto"/>
          <w:spacing w:val="-6"/>
          <w:szCs w:val="21"/>
          <w:highlight w:val="none"/>
        </w:rPr>
        <w:t>：</w:t>
      </w:r>
      <w:r>
        <w:rPr>
          <w:rFonts w:hint="eastAsia" w:ascii="宋体" w:hAnsi="宋体" w:eastAsia="宋体" w:cs="宋体"/>
          <w:color w:val="auto"/>
          <w:highlight w:val="none"/>
        </w:rPr>
        <w:t>自签订合同之日起</w:t>
      </w:r>
      <w:r>
        <w:rPr>
          <w:rFonts w:hint="eastAsia" w:ascii="宋体" w:hAnsi="宋体" w:eastAsia="宋体" w:cs="宋体"/>
          <w:color w:val="auto"/>
          <w:highlight w:val="none"/>
          <w:lang w:val="en-US" w:eastAsia="zh-CN"/>
        </w:rPr>
        <w:t>三</w:t>
      </w:r>
      <w:r>
        <w:rPr>
          <w:rFonts w:hint="eastAsia" w:ascii="宋体" w:hAnsi="宋体" w:eastAsia="宋体" w:cs="宋体"/>
          <w:color w:val="auto"/>
          <w:highlight w:val="none"/>
        </w:rPr>
        <w:t>年</w:t>
      </w:r>
      <w:r>
        <w:rPr>
          <w:rFonts w:hint="eastAsia" w:ascii="宋体" w:hAnsi="宋体"/>
          <w:b w:val="0"/>
          <w:bCs w:val="0"/>
          <w:color w:val="auto"/>
          <w:spacing w:val="-6"/>
          <w:szCs w:val="21"/>
          <w:highlight w:val="none"/>
        </w:rPr>
        <w:t>。</w:t>
      </w:r>
      <w:r>
        <w:rPr>
          <w:rFonts w:hint="eastAsia" w:ascii="宋体" w:hAnsi="宋体"/>
          <w:bCs/>
          <w:color w:val="auto"/>
          <w:highlight w:val="none"/>
        </w:rPr>
        <w:t>（</w:t>
      </w:r>
      <w:r>
        <w:rPr>
          <w:rFonts w:hint="eastAsia" w:ascii="宋体" w:hAnsi="宋体"/>
          <w:bCs/>
          <w:color w:val="auto"/>
          <w:highlight w:val="none"/>
          <w:lang w:val="en-US" w:eastAsia="zh-CN"/>
        </w:rPr>
        <w:t>少于</w:t>
      </w:r>
      <w:r>
        <w:rPr>
          <w:rFonts w:hint="eastAsia" w:ascii="宋体" w:hAnsi="宋体"/>
          <w:bCs/>
          <w:color w:val="auto"/>
          <w:highlight w:val="none"/>
        </w:rPr>
        <w:t>该服务期将作为无效投标处理）</w:t>
      </w:r>
    </w:p>
    <w:p>
      <w:pPr>
        <w:keepNext w:val="0"/>
        <w:keepLines w:val="0"/>
        <w:pageBreakBefore w:val="0"/>
        <w:widowControl/>
        <w:numPr>
          <w:ilvl w:val="0"/>
          <w:numId w:val="0"/>
        </w:numPr>
        <w:tabs>
          <w:tab w:val="left" w:pos="220"/>
          <w:tab w:val="left" w:pos="735"/>
        </w:tabs>
        <w:kinsoku/>
        <w:wordWrap/>
        <w:overflowPunct/>
        <w:topLinePunct w:val="0"/>
        <w:autoSpaceDE/>
        <w:autoSpaceDN/>
        <w:bidi w:val="0"/>
        <w:adjustRightInd w:val="0"/>
        <w:snapToGrid w:val="0"/>
        <w:spacing w:line="380" w:lineRule="exact"/>
        <w:ind w:left="413" w:leftChars="104" w:hanging="195" w:hangingChars="93"/>
        <w:textAlignment w:val="auto"/>
        <w:rPr>
          <w:rFonts w:hint="default" w:ascii="宋体" w:hAnsi="宋体"/>
          <w:bCs/>
          <w:color w:val="auto"/>
          <w:highlight w:val="none"/>
          <w:lang w:val="en-US" w:eastAsia="zh-CN"/>
        </w:rPr>
      </w:pPr>
      <w:r>
        <w:rPr>
          <w:rFonts w:hint="eastAsia" w:ascii="宋体" w:hAnsi="宋体"/>
          <w:bCs/>
          <w:color w:val="auto"/>
          <w:highlight w:val="none"/>
          <w:lang w:val="en-US" w:eastAsia="zh-CN"/>
        </w:rPr>
        <w:t>5.中标数量：不多于4家。</w:t>
      </w:r>
    </w:p>
    <w:p>
      <w:pPr>
        <w:keepNext w:val="0"/>
        <w:keepLines w:val="0"/>
        <w:pageBreakBefore w:val="0"/>
        <w:widowControl/>
        <w:numPr>
          <w:ilvl w:val="0"/>
          <w:numId w:val="0"/>
        </w:numPr>
        <w:tabs>
          <w:tab w:val="left" w:pos="220"/>
          <w:tab w:val="left" w:pos="735"/>
        </w:tabs>
        <w:kinsoku/>
        <w:wordWrap/>
        <w:overflowPunct/>
        <w:topLinePunct w:val="0"/>
        <w:autoSpaceDE/>
        <w:autoSpaceDN/>
        <w:bidi w:val="0"/>
        <w:adjustRightInd w:val="0"/>
        <w:snapToGrid w:val="0"/>
        <w:spacing w:line="380" w:lineRule="exact"/>
        <w:ind w:left="413" w:leftChars="104" w:hanging="195" w:hangingChars="93"/>
        <w:textAlignment w:val="auto"/>
        <w:rPr>
          <w:rFonts w:ascii="宋体" w:hAnsi="宋体"/>
          <w:bCs/>
          <w:color w:val="auto"/>
          <w:highlight w:val="none"/>
        </w:rPr>
      </w:pPr>
      <w:r>
        <w:rPr>
          <w:rFonts w:hint="eastAsia" w:ascii="宋体" w:hAnsi="宋体"/>
          <w:bCs/>
          <w:color w:val="auto"/>
          <w:highlight w:val="none"/>
          <w:lang w:val="en-US" w:eastAsia="zh-CN"/>
        </w:rPr>
        <w:t>6.</w:t>
      </w:r>
      <w:r>
        <w:rPr>
          <w:rFonts w:hint="eastAsia" w:ascii="宋体" w:hAnsi="宋体" w:cs="Tahoma"/>
          <w:color w:val="auto"/>
          <w:kern w:val="28"/>
          <w:szCs w:val="21"/>
          <w:highlight w:val="none"/>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auto"/>
          <w:highlight w:val="none"/>
        </w:rPr>
      </w:pPr>
      <w:r>
        <w:rPr>
          <w:rFonts w:hint="eastAsia" w:ascii="宋体" w:hAnsi="宋体" w:cs="Tahoma"/>
          <w:b/>
          <w:bCs/>
          <w:color w:val="auto"/>
          <w:highlight w:val="none"/>
        </w:rPr>
        <w:t>二、投标人资格要求为：</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1.投标人须具备《政府采购法》第二十二条规定的条件</w:t>
      </w:r>
      <w:r>
        <w:rPr>
          <w:rFonts w:hint="eastAsia" w:ascii="宋体" w:hAnsi="宋体"/>
          <w:color w:val="auto"/>
          <w:szCs w:val="21"/>
          <w:highlight w:val="none"/>
          <w:lang w:eastAsia="zh-CN"/>
        </w:rPr>
        <w:t>：</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200" w:firstLine="0" w:firstLineChars="0"/>
        <w:textAlignment w:val="auto"/>
        <w:rPr>
          <w:rFonts w:hint="eastAsia" w:ascii="宋体" w:hAnsi="宋体"/>
          <w:color w:val="auto"/>
          <w:szCs w:val="21"/>
          <w:highlight w:val="none"/>
        </w:rPr>
      </w:pPr>
      <w:r>
        <w:rPr>
          <w:rFonts w:hint="eastAsia" w:ascii="宋体" w:hAnsi="宋体"/>
          <w:color w:val="auto"/>
          <w:szCs w:val="21"/>
          <w:highlight w:val="none"/>
        </w:rPr>
        <w:t>1）具有独立承担民事责任的能力；</w:t>
      </w:r>
      <w:r>
        <w:rPr>
          <w:rFonts w:hint="eastAsia" w:ascii="宋体" w:hAnsi="宋体"/>
          <w:color w:val="auto"/>
          <w:szCs w:val="21"/>
          <w:highlight w:val="none"/>
        </w:rPr>
        <w:br w:type="textWrapping"/>
      </w:r>
      <w:r>
        <w:rPr>
          <w:rFonts w:hint="eastAsia" w:ascii="宋体" w:hAnsi="宋体"/>
          <w:color w:val="auto"/>
          <w:szCs w:val="21"/>
          <w:highlight w:val="none"/>
        </w:rPr>
        <w:t>2）具有良好的商业信誉和健全的财务会计制度；</w:t>
      </w:r>
      <w:r>
        <w:rPr>
          <w:rFonts w:hint="eastAsia" w:ascii="宋体" w:hAnsi="宋体"/>
          <w:color w:val="auto"/>
          <w:szCs w:val="21"/>
          <w:highlight w:val="none"/>
        </w:rPr>
        <w:br w:type="textWrapping"/>
      </w:r>
      <w:r>
        <w:rPr>
          <w:rFonts w:hint="eastAsia" w:ascii="宋体" w:hAnsi="宋体"/>
          <w:color w:val="auto"/>
          <w:szCs w:val="21"/>
          <w:highlight w:val="none"/>
        </w:rPr>
        <w:t>3）具有履行合同所必需的设备和专业技术能力；</w:t>
      </w:r>
      <w:r>
        <w:rPr>
          <w:rFonts w:hint="eastAsia" w:ascii="宋体" w:hAnsi="宋体"/>
          <w:color w:val="auto"/>
          <w:szCs w:val="21"/>
          <w:highlight w:val="none"/>
        </w:rPr>
        <w:br w:type="textWrapping"/>
      </w:r>
      <w:r>
        <w:rPr>
          <w:rFonts w:hint="eastAsia" w:ascii="宋体" w:hAnsi="宋体"/>
          <w:color w:val="auto"/>
          <w:szCs w:val="21"/>
          <w:highlight w:val="none"/>
        </w:rPr>
        <w:t>4）有依法缴纳税收和社会保障资金的良好记录；</w:t>
      </w:r>
      <w:r>
        <w:rPr>
          <w:rFonts w:hint="eastAsia" w:ascii="宋体" w:hAnsi="宋体"/>
          <w:color w:val="auto"/>
          <w:szCs w:val="21"/>
          <w:highlight w:val="none"/>
        </w:rPr>
        <w:br w:type="textWrapping"/>
      </w:r>
      <w:r>
        <w:rPr>
          <w:rFonts w:hint="eastAsia" w:ascii="宋体" w:hAnsi="宋体"/>
          <w:color w:val="auto"/>
          <w:szCs w:val="21"/>
          <w:highlight w:val="none"/>
        </w:rPr>
        <w:t>5）参加政府采购活动前三年内，在经营活动中没有重大违法记录；</w:t>
      </w:r>
      <w:r>
        <w:rPr>
          <w:rFonts w:hint="eastAsia" w:ascii="宋体" w:hAnsi="宋体"/>
          <w:color w:val="auto"/>
          <w:szCs w:val="21"/>
          <w:highlight w:val="none"/>
        </w:rPr>
        <w:br w:type="textWrapping"/>
      </w:r>
      <w:r>
        <w:rPr>
          <w:rFonts w:hint="eastAsia" w:ascii="宋体" w:hAnsi="宋体"/>
          <w:color w:val="auto"/>
          <w:szCs w:val="21"/>
          <w:highlight w:val="none"/>
        </w:rPr>
        <w:t>6）法律、行政法规规定的其他条件。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olor w:val="auto"/>
          <w:szCs w:val="21"/>
          <w:highlight w:val="none"/>
          <w:lang w:val="en-US" w:eastAsia="zh-CN"/>
        </w:rPr>
      </w:pPr>
      <w:r>
        <w:rPr>
          <w:rFonts w:hint="eastAsia" w:ascii="宋体" w:hAnsi="宋体"/>
          <w:color w:val="auto"/>
          <w:szCs w:val="21"/>
          <w:highlight w:val="none"/>
        </w:rPr>
        <w:t>2.投标人须是在中华人民共和国境内注册，且经中国人民银行批准设立的，在阳江地区</w:t>
      </w:r>
      <w:r>
        <w:rPr>
          <w:rFonts w:hint="eastAsia" w:ascii="宋体" w:hAnsi="宋体"/>
          <w:color w:val="auto"/>
          <w:szCs w:val="21"/>
          <w:highlight w:val="none"/>
          <w:lang w:eastAsia="zh-CN"/>
        </w:rPr>
        <w:t>具备</w:t>
      </w:r>
      <w:r>
        <w:rPr>
          <w:rFonts w:hint="eastAsia" w:ascii="宋体" w:hAnsi="宋体"/>
          <w:color w:val="auto"/>
          <w:szCs w:val="21"/>
          <w:highlight w:val="none"/>
        </w:rPr>
        <w:t>经营银行业务资格的金融机构</w:t>
      </w:r>
      <w:r>
        <w:rPr>
          <w:rFonts w:hint="eastAsia" w:ascii="宋体" w:hAnsi="宋体"/>
          <w:color w:val="auto"/>
          <w:szCs w:val="21"/>
          <w:highlight w:val="none"/>
          <w:lang w:eastAsia="zh-CN"/>
        </w:rPr>
        <w:t>，并在</w:t>
      </w:r>
      <w:r>
        <w:rPr>
          <w:rFonts w:hint="eastAsia" w:ascii="宋体" w:hAnsi="宋体"/>
          <w:color w:val="auto"/>
          <w:szCs w:val="21"/>
          <w:highlight w:val="none"/>
        </w:rPr>
        <w:t>海陵区</w:t>
      </w:r>
      <w:r>
        <w:rPr>
          <w:rFonts w:hint="eastAsia" w:ascii="宋体" w:hAnsi="宋体"/>
          <w:color w:val="auto"/>
          <w:szCs w:val="21"/>
          <w:highlight w:val="none"/>
          <w:lang w:eastAsia="zh-CN"/>
        </w:rPr>
        <w:t>内设立金融网点（不含自助银行）。</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需</w:t>
      </w:r>
      <w:r>
        <w:rPr>
          <w:rFonts w:hint="eastAsia" w:ascii="宋体" w:hAnsi="宋体"/>
          <w:b/>
          <w:bCs/>
          <w:color w:val="auto"/>
          <w:szCs w:val="21"/>
          <w:highlight w:val="none"/>
        </w:rPr>
        <w:t>提供中国银行业监督管理部门核发的《金融许可证》</w:t>
      </w:r>
      <w:r>
        <w:rPr>
          <w:rFonts w:hint="eastAsia" w:ascii="宋体" w:hAnsi="宋体"/>
          <w:b/>
          <w:bCs/>
          <w:color w:val="auto"/>
          <w:szCs w:val="21"/>
          <w:highlight w:val="none"/>
          <w:lang w:eastAsia="zh-CN"/>
        </w:rPr>
        <w:t>。</w:t>
      </w:r>
      <w:r>
        <w:rPr>
          <w:rFonts w:hint="eastAsia" w:ascii="宋体" w:hAnsi="宋体"/>
          <w:color w:val="auto"/>
          <w:szCs w:val="21"/>
          <w:highlight w:val="none"/>
          <w:lang w:eastAsia="zh-CN"/>
        </w:rPr>
        <w:t>）</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color w:val="auto"/>
          <w:szCs w:val="21"/>
          <w:highlight w:val="none"/>
        </w:rPr>
      </w:pPr>
      <w:r>
        <w:rPr>
          <w:rFonts w:hint="eastAsia" w:ascii="宋体" w:hAnsi="宋体"/>
          <w:color w:val="auto"/>
          <w:szCs w:val="21"/>
          <w:highlight w:val="none"/>
        </w:rPr>
        <w:t>3.本项目不接受联合体投标；</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.投标人须在采购代理机构登记并购买了招标文件。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三、</w:t>
      </w:r>
      <w:r>
        <w:rPr>
          <w:rFonts w:ascii="Tahoma" w:hAnsi="Tahoma" w:cs="Tahoma"/>
          <w:b/>
          <w:bCs/>
          <w:color w:val="auto"/>
          <w:szCs w:val="21"/>
          <w:highlight w:val="none"/>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ascii="宋体" w:hAnsi="宋体"/>
          <w:bCs/>
          <w:color w:val="auto"/>
          <w:highlight w:val="none"/>
        </w:rPr>
      </w:pPr>
      <w:r>
        <w:rPr>
          <w:rFonts w:hint="eastAsia" w:ascii="宋体" w:hAnsi="宋体" w:cs="宋体"/>
          <w:color w:val="auto"/>
          <w:kern w:val="0"/>
          <w:szCs w:val="21"/>
          <w:highlight w:val="none"/>
        </w:rPr>
        <w:t>1．</w:t>
      </w:r>
      <w:r>
        <w:rPr>
          <w:rFonts w:hint="eastAsia" w:ascii="宋体" w:hAnsi="宋体" w:cs="Arial"/>
          <w:color w:val="auto"/>
          <w:highlight w:val="none"/>
        </w:rPr>
        <w:t>招标文件公示时</w:t>
      </w:r>
      <w:r>
        <w:rPr>
          <w:rFonts w:hint="eastAsia" w:ascii="宋体" w:hAnsi="宋体"/>
          <w:bCs/>
          <w:color w:val="auto"/>
          <w:highlight w:val="none"/>
        </w:rPr>
        <w:t>间及下载：</w:t>
      </w:r>
      <w:r>
        <w:rPr>
          <w:rFonts w:ascii="Times New Roman" w:hAnsi="Times New Roman" w:eastAsia="宋体" w:cs="Times New Roman"/>
          <w:color w:val="auto"/>
          <w:kern w:val="2"/>
          <w:sz w:val="21"/>
          <w:szCs w:val="24"/>
          <w:highlight w:val="none"/>
          <w:lang w:val="en-US" w:eastAsia="zh-CN" w:bidi="ar-SA"/>
        </w:rPr>
        <w:t>2022年7月11日</w:t>
      </w:r>
      <w:r>
        <w:rPr>
          <w:rFonts w:hint="eastAsia"/>
          <w:color w:val="auto"/>
          <w:szCs w:val="21"/>
          <w:highlight w:val="none"/>
        </w:rPr>
        <w:t>至</w:t>
      </w:r>
      <w:r>
        <w:rPr>
          <w:rFonts w:ascii="Times New Roman" w:hAnsi="Times New Roman" w:eastAsia="宋体" w:cs="Times New Roman"/>
          <w:color w:val="auto"/>
          <w:kern w:val="2"/>
          <w:sz w:val="21"/>
          <w:szCs w:val="24"/>
          <w:highlight w:val="none"/>
          <w:lang w:val="en-US" w:eastAsia="zh-CN" w:bidi="ar-SA"/>
        </w:rPr>
        <w:t>2022年7月18日</w:t>
      </w:r>
      <w:r>
        <w:rPr>
          <w:rFonts w:hint="eastAsia" w:ascii="宋体" w:hAnsi="宋体"/>
          <w:bCs/>
          <w:color w:val="auto"/>
          <w:highlight w:val="none"/>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ascii="宋体" w:hAnsi="宋体" w:cs="宋体"/>
          <w:color w:val="auto"/>
          <w:kern w:val="0"/>
          <w:szCs w:val="21"/>
          <w:highlight w:val="none"/>
        </w:rPr>
      </w:pPr>
      <w:r>
        <w:rPr>
          <w:rFonts w:hint="eastAsia" w:ascii="宋体" w:hAnsi="宋体"/>
          <w:bCs/>
          <w:color w:val="auto"/>
          <w:highlight w:val="none"/>
        </w:rPr>
        <w:t>2．</w:t>
      </w:r>
      <w:r>
        <w:rPr>
          <w:rFonts w:ascii="宋体" w:hAnsi="宋体"/>
          <w:bCs/>
          <w:color w:val="auto"/>
          <w:highlight w:val="none"/>
        </w:rPr>
        <w:t>根据《广东省实施〈中华人民共和国政府采购法〉办法》第三十五条的规定，投标人认为政府采购文件的内容损害其权益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投标人的法定代表人</w:t>
      </w:r>
      <w:r>
        <w:rPr>
          <w:rFonts w:ascii="宋体" w:hAnsi="宋体" w:cs="宋体"/>
          <w:color w:val="auto"/>
          <w:kern w:val="0"/>
          <w:szCs w:val="21"/>
          <w:highlight w:val="none"/>
        </w:rPr>
        <w:t>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auto"/>
          <w:highlight w:val="none"/>
        </w:rPr>
      </w:pPr>
      <w:r>
        <w:rPr>
          <w:rFonts w:hint="eastAsia" w:ascii="宋体" w:hAnsi="宋体" w:cs="Tahoma"/>
          <w:color w:val="auto"/>
          <w:highlight w:val="none"/>
        </w:rPr>
        <w:t>1.购买招标文件</w:t>
      </w:r>
      <w:r>
        <w:rPr>
          <w:rFonts w:hint="eastAsia" w:ascii="宋体" w:hAnsi="宋体"/>
          <w:bCs/>
          <w:color w:val="auto"/>
          <w:highlight w:val="none"/>
        </w:rPr>
        <w:t>时间：</w:t>
      </w:r>
      <w:r>
        <w:rPr>
          <w:rFonts w:ascii="Times New Roman" w:hAnsi="Times New Roman" w:eastAsia="宋体" w:cs="Times New Roman"/>
          <w:color w:val="auto"/>
          <w:kern w:val="2"/>
          <w:sz w:val="21"/>
          <w:szCs w:val="24"/>
          <w:highlight w:val="none"/>
          <w:lang w:val="en-US" w:eastAsia="zh-CN" w:bidi="ar-SA"/>
        </w:rPr>
        <w:t>2022年7月11日</w:t>
      </w:r>
      <w:r>
        <w:rPr>
          <w:rFonts w:hint="eastAsia"/>
          <w:color w:val="auto"/>
          <w:szCs w:val="21"/>
          <w:highlight w:val="none"/>
        </w:rPr>
        <w:t>至</w:t>
      </w:r>
      <w:r>
        <w:rPr>
          <w:rFonts w:ascii="Times New Roman" w:hAnsi="Times New Roman" w:eastAsia="宋体" w:cs="Times New Roman"/>
          <w:color w:val="auto"/>
          <w:kern w:val="2"/>
          <w:sz w:val="21"/>
          <w:szCs w:val="24"/>
          <w:highlight w:val="none"/>
          <w:lang w:val="en-US" w:eastAsia="zh-CN" w:bidi="ar-SA"/>
        </w:rPr>
        <w:t>2022年7月18日</w:t>
      </w:r>
      <w:r>
        <w:rPr>
          <w:rFonts w:hint="eastAsia" w:ascii="宋体" w:hAnsi="宋体"/>
          <w:bCs/>
          <w:color w:val="auto"/>
          <w:highlight w:val="none"/>
        </w:rPr>
        <w:t>，上午9</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w:t>
      </w:r>
      <w:r>
        <w:rPr>
          <w:rFonts w:ascii="宋体" w:hAnsi="宋体"/>
          <w:bCs/>
          <w:color w:val="auto"/>
          <w:highlight w:val="none"/>
        </w:rPr>
        <w:t>1</w:t>
      </w:r>
      <w:r>
        <w:rPr>
          <w:rFonts w:hint="eastAsia" w:ascii="宋体" w:hAnsi="宋体"/>
          <w:bCs/>
          <w:color w:val="auto"/>
          <w:highlight w:val="none"/>
        </w:rPr>
        <w:t>2</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，下午</w:t>
      </w:r>
      <w:r>
        <w:rPr>
          <w:rFonts w:ascii="宋体" w:hAnsi="宋体"/>
          <w:bCs/>
          <w:color w:val="auto"/>
          <w:highlight w:val="none"/>
        </w:rPr>
        <w:t>2:30</w:t>
      </w:r>
      <w:r>
        <w:rPr>
          <w:rFonts w:hint="eastAsia" w:ascii="宋体" w:hAnsi="宋体"/>
          <w:bCs/>
          <w:color w:val="auto"/>
          <w:highlight w:val="none"/>
        </w:rPr>
        <w:t>～</w:t>
      </w:r>
      <w:r>
        <w:rPr>
          <w:rFonts w:ascii="宋体" w:hAnsi="宋体"/>
          <w:bCs/>
          <w:color w:val="auto"/>
          <w:highlight w:val="none"/>
        </w:rPr>
        <w:t>5:</w:t>
      </w:r>
      <w:r>
        <w:rPr>
          <w:rFonts w:hint="eastAsia" w:ascii="宋体" w:hAnsi="宋体"/>
          <w:bCs/>
          <w:color w:val="auto"/>
          <w:highlight w:val="none"/>
        </w:rPr>
        <w:t>3</w:t>
      </w:r>
      <w:r>
        <w:rPr>
          <w:rFonts w:ascii="宋体" w:hAnsi="宋体"/>
          <w:bCs/>
          <w:color w:val="auto"/>
          <w:highlight w:val="none"/>
        </w:rPr>
        <w:t>0</w:t>
      </w:r>
      <w:r>
        <w:rPr>
          <w:rFonts w:hint="eastAsia" w:ascii="宋体" w:hAnsi="宋体"/>
          <w:bCs/>
          <w:color w:val="auto"/>
          <w:highlight w:val="none"/>
        </w:rPr>
        <w:t>（节假日除外）（北</w:t>
      </w:r>
      <w:r>
        <w:rPr>
          <w:rFonts w:hint="eastAsia" w:ascii="宋体" w:hAnsi="宋体" w:cs="Arial"/>
          <w:color w:val="auto"/>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auto"/>
          <w:highlight w:val="none"/>
        </w:rPr>
      </w:pPr>
      <w:r>
        <w:rPr>
          <w:rFonts w:hint="eastAsia" w:ascii="宋体" w:hAnsi="宋体" w:cs="Tahoma"/>
          <w:color w:val="auto"/>
          <w:highlight w:val="none"/>
        </w:rPr>
        <w:t>2.购买招标文件地点：</w:t>
      </w:r>
      <w:r>
        <w:rPr>
          <w:rFonts w:hint="eastAsia"/>
          <w:color w:val="auto"/>
          <w:szCs w:val="21"/>
          <w:highlight w:val="none"/>
          <w:lang w:eastAsia="zh-CN"/>
        </w:rPr>
        <w:t>阳江市江城区猫</w:t>
      </w:r>
      <w:r>
        <w:rPr>
          <w:rFonts w:hint="eastAsia" w:ascii="宋体" w:hAnsi="宋体" w:eastAsia="宋体" w:cs="宋体"/>
          <w:color w:val="auto"/>
          <w:szCs w:val="21"/>
          <w:highlight w:val="none"/>
          <w:lang w:eastAsia="zh-CN"/>
        </w:rPr>
        <w:t>山四街33号A座2楼</w:t>
      </w:r>
      <w:r>
        <w:rPr>
          <w:rFonts w:hint="eastAsia" w:ascii="宋体" w:hAnsi="宋体" w:cs="宋体"/>
          <w:color w:val="auto"/>
          <w:szCs w:val="21"/>
          <w:highlight w:val="none"/>
          <w:lang w:val="en-US" w:eastAsia="zh-CN"/>
        </w:rPr>
        <w:t>205室</w:t>
      </w:r>
      <w:r>
        <w:rPr>
          <w:rFonts w:hint="eastAsia" w:ascii="宋体" w:hAnsi="宋体" w:eastAsia="宋体" w:cs="宋体"/>
          <w:color w:val="auto"/>
          <w:szCs w:val="2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auto"/>
          <w:highlight w:val="none"/>
        </w:rPr>
      </w:pPr>
      <w:r>
        <w:rPr>
          <w:rFonts w:hint="eastAsia" w:ascii="宋体" w:hAnsi="宋体"/>
          <w:bCs/>
          <w:color w:val="auto"/>
          <w:highlight w:val="none"/>
        </w:rPr>
        <w:t>3.招标文件售价：</w:t>
      </w:r>
      <w:r>
        <w:rPr>
          <w:rFonts w:hint="eastAsia" w:ascii="宋体" w:hAnsi="宋体"/>
          <w:bCs/>
          <w:color w:val="auto"/>
          <w:szCs w:val="21"/>
          <w:highlight w:val="none"/>
        </w:rPr>
        <w:t>招标文件每套人民币300元，售后不退</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auto"/>
          <w:highlight w:val="none"/>
        </w:rPr>
      </w:pPr>
      <w:r>
        <w:rPr>
          <w:rFonts w:hint="eastAsia" w:ascii="宋体" w:hAnsi="宋体"/>
          <w:bCs/>
          <w:color w:val="auto"/>
          <w:highlight w:val="none"/>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auto"/>
          <w:szCs w:val="21"/>
          <w:highlight w:val="none"/>
        </w:rPr>
      </w:pPr>
      <w:r>
        <w:rPr>
          <w:rFonts w:hint="eastAsia" w:ascii="宋体" w:hAnsi="宋体"/>
          <w:bCs/>
          <w:color w:val="auto"/>
          <w:highlight w:val="none"/>
        </w:rPr>
        <w:t>5.</w:t>
      </w:r>
      <w:r>
        <w:rPr>
          <w:rFonts w:hint="eastAsia" w:ascii="宋体" w:hAnsi="宋体"/>
          <w:bCs/>
          <w:color w:val="auto"/>
          <w:szCs w:val="21"/>
          <w:highlight w:val="none"/>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auto"/>
          <w:highlight w:val="none"/>
        </w:rPr>
        <w:fldChar w:fldCharType="begin"/>
      </w:r>
      <w:r>
        <w:rPr>
          <w:color w:val="auto"/>
          <w:highlight w:val="none"/>
        </w:rPr>
        <w:instrText xml:space="preserve"> HYPERLINK "http://www.yjgpc.gov.cn/" </w:instrText>
      </w:r>
      <w:r>
        <w:rPr>
          <w:color w:val="auto"/>
          <w:highlight w:val="none"/>
        </w:rPr>
        <w:fldChar w:fldCharType="separate"/>
      </w:r>
      <w:r>
        <w:rPr>
          <w:rStyle w:val="51"/>
          <w:color w:val="auto"/>
          <w:highlight w:val="none"/>
        </w:rPr>
        <w:t>http://www.yjcg.cc</w:t>
      </w:r>
      <w:r>
        <w:rPr>
          <w:rStyle w:val="51"/>
          <w:color w:val="auto"/>
          <w:highlight w:val="none"/>
        </w:rPr>
        <w:fldChar w:fldCharType="end"/>
      </w:r>
      <w:r>
        <w:rPr>
          <w:color w:val="auto"/>
          <w:highlight w:val="none"/>
        </w:rPr>
        <w:fldChar w:fldCharType="begin"/>
      </w:r>
      <w:r>
        <w:rPr>
          <w:color w:val="auto"/>
          <w:highlight w:val="none"/>
        </w:rPr>
        <w:instrText xml:space="preserve"> HYPERLINK "http://www.yjcg.cc/index.php?c=content&amp;a=list&amp;catid=14" \o "政府采购资料下载" </w:instrText>
      </w:r>
      <w:r>
        <w:rPr>
          <w:color w:val="auto"/>
          <w:highlight w:val="none"/>
        </w:rPr>
        <w:fldChar w:fldCharType="separate"/>
      </w:r>
      <w:r>
        <w:rPr>
          <w:rStyle w:val="51"/>
          <w:rFonts w:hint="eastAsia" w:ascii="宋体" w:hAnsi="宋体"/>
          <w:bCs/>
          <w:color w:val="auto"/>
          <w:highlight w:val="none"/>
        </w:rPr>
        <w:t>政府采购资料</w:t>
      </w:r>
      <w:r>
        <w:rPr>
          <w:rStyle w:val="51"/>
          <w:rFonts w:hint="eastAsia" w:ascii="宋体" w:hAnsi="宋体"/>
          <w:bCs/>
          <w:color w:val="auto"/>
          <w:highlight w:val="none"/>
        </w:rPr>
        <w:fldChar w:fldCharType="end"/>
      </w:r>
      <w:r>
        <w:rPr>
          <w:rFonts w:hint="eastAsia" w:ascii="宋体" w:hAnsi="宋体"/>
          <w:bCs/>
          <w:color w:val="auto"/>
          <w:szCs w:val="21"/>
          <w:highlight w:val="none"/>
        </w:rPr>
        <w:t>下载专区）加盖公章到指定地址购买。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ascii="宋体" w:hAnsi="宋体" w:cs="Arial"/>
          <w:b/>
          <w:color w:val="auto"/>
          <w:highlight w:val="none"/>
        </w:rPr>
      </w:pPr>
      <w:r>
        <w:rPr>
          <w:rFonts w:hint="eastAsia" w:ascii="宋体" w:hAnsi="宋体"/>
          <w:b/>
          <w:bCs/>
          <w:color w:val="auto"/>
          <w:highlight w:val="none"/>
        </w:rPr>
        <w:t>2）供应商须提供未被列入“信用中国”网站(www.creditchina.gov.cn)“记录失信被执行人或</w:t>
      </w:r>
      <w:r>
        <w:rPr>
          <w:rFonts w:hint="eastAsia" w:ascii="宋体" w:hAnsi="宋体"/>
          <w:b/>
          <w:bCs/>
          <w:color w:val="auto"/>
          <w:highlight w:val="none"/>
          <w:lang w:val="en-US" w:eastAsia="zh-CN"/>
        </w:rPr>
        <w:t>税收黑名单</w:t>
      </w:r>
      <w:r>
        <w:rPr>
          <w:rFonts w:hint="eastAsia" w:ascii="宋体" w:hAnsi="宋体"/>
          <w:b/>
          <w:bCs/>
          <w:color w:val="auto"/>
          <w:highlight w:val="none"/>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cs="Arial"/>
          <w:color w:val="auto"/>
          <w:highlight w:val="none"/>
        </w:rPr>
      </w:pPr>
      <w:r>
        <w:rPr>
          <w:rFonts w:hint="eastAsia" w:ascii="宋体" w:hAnsi="宋体" w:cs="Tahoma"/>
          <w:color w:val="auto"/>
          <w:highlight w:val="none"/>
        </w:rPr>
        <w:t>1.递交投标文件时间：</w:t>
      </w:r>
      <w:r>
        <w:rPr>
          <w:rFonts w:ascii="Times New Roman" w:hAnsi="Times New Roman" w:eastAsia="宋体" w:cs="Times New Roman"/>
          <w:color w:val="auto"/>
          <w:kern w:val="2"/>
          <w:sz w:val="21"/>
          <w:szCs w:val="24"/>
          <w:highlight w:val="none"/>
          <w:lang w:val="en-US" w:eastAsia="zh-CN" w:bidi="ar-SA"/>
        </w:rPr>
        <w:t>2022年8月2日</w:t>
      </w:r>
      <w:r>
        <w:rPr>
          <w:rFonts w:hint="eastAsia" w:ascii="宋体" w:hAnsi="宋体"/>
          <w:color w:val="auto"/>
          <w:highlight w:val="none"/>
          <w:lang w:val="en-US" w:eastAsia="zh-CN"/>
        </w:rPr>
        <w:t>14</w:t>
      </w:r>
      <w:r>
        <w:rPr>
          <w:rFonts w:hint="eastAsia" w:ascii="宋体" w:hAnsi="宋体"/>
          <w:color w:val="auto"/>
          <w:highlight w:val="none"/>
        </w:rPr>
        <w:t>:</w:t>
      </w:r>
      <w:r>
        <w:rPr>
          <w:rFonts w:hint="eastAsia" w:ascii="宋体" w:hAnsi="宋体"/>
          <w:color w:val="auto"/>
          <w:highlight w:val="none"/>
          <w:lang w:val="en-US" w:eastAsia="zh-CN"/>
        </w:rPr>
        <w:t>3</w:t>
      </w:r>
      <w:r>
        <w:rPr>
          <w:rFonts w:hint="eastAsia" w:ascii="宋体" w:hAnsi="宋体"/>
          <w:color w:val="auto"/>
          <w:highlight w:val="none"/>
        </w:rPr>
        <w:t>0-</w:t>
      </w:r>
      <w:r>
        <w:rPr>
          <w:rFonts w:hint="eastAsia" w:ascii="宋体" w:hAnsi="宋体"/>
          <w:color w:val="auto"/>
          <w:highlight w:val="none"/>
          <w:lang w:val="en-US" w:eastAsia="zh-CN"/>
        </w:rPr>
        <w:t>15:00</w:t>
      </w:r>
      <w:r>
        <w:rPr>
          <w:rFonts w:ascii="宋体" w:hAnsi="宋体" w:cs="Arial"/>
          <w:color w:val="auto"/>
          <w:highlight w:val="none"/>
        </w:rPr>
        <w:t>(</w:t>
      </w:r>
      <w:r>
        <w:rPr>
          <w:rFonts w:hint="eastAsia" w:ascii="宋体" w:hAnsi="宋体" w:cs="Arial"/>
          <w:color w:val="auto"/>
          <w:highlight w:val="none"/>
        </w:rPr>
        <w:t>北京时间</w:t>
      </w:r>
      <w:r>
        <w:rPr>
          <w:rFonts w:ascii="宋体" w:hAnsi="宋体" w:cs="Arial"/>
          <w:color w:val="auto"/>
          <w:highlight w:val="none"/>
        </w:rPr>
        <w:t>)</w:t>
      </w:r>
      <w:r>
        <w:rPr>
          <w:rFonts w:hint="eastAsia" w:ascii="宋体" w:hAnsi="宋体" w:cs="Arial"/>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auto"/>
          <w:highlight w:val="none"/>
        </w:rPr>
      </w:pPr>
      <w:r>
        <w:rPr>
          <w:rFonts w:hint="eastAsia" w:ascii="宋体" w:hAnsi="宋体" w:cs="Tahoma"/>
          <w:color w:val="auto"/>
          <w:highlight w:val="none"/>
        </w:rPr>
        <w:t>2.投标截止时间、开标时间：</w:t>
      </w:r>
      <w:r>
        <w:rPr>
          <w:rFonts w:ascii="Times New Roman" w:hAnsi="Times New Roman" w:eastAsia="宋体" w:cs="Times New Roman"/>
          <w:color w:val="auto"/>
          <w:kern w:val="2"/>
          <w:sz w:val="21"/>
          <w:szCs w:val="24"/>
          <w:highlight w:val="none"/>
          <w:lang w:val="en-US" w:eastAsia="zh-CN" w:bidi="ar-SA"/>
        </w:rPr>
        <w:t>2022年8月2日</w:t>
      </w:r>
      <w:r>
        <w:rPr>
          <w:rFonts w:hint="eastAsia" w:ascii="宋体" w:hAnsi="宋体"/>
          <w:color w:val="auto"/>
          <w:highlight w:val="none"/>
          <w:lang w:val="en-US" w:eastAsia="zh-CN"/>
        </w:rPr>
        <w:t>15</w:t>
      </w:r>
      <w:r>
        <w:rPr>
          <w:rFonts w:hint="eastAsia" w:ascii="宋体" w:hAnsi="宋体"/>
          <w:color w:val="auto"/>
          <w:highlight w:val="none"/>
        </w:rPr>
        <w:t>:</w:t>
      </w:r>
      <w:r>
        <w:rPr>
          <w:rFonts w:hint="eastAsia" w:ascii="宋体" w:hAnsi="宋体"/>
          <w:color w:val="auto"/>
          <w:highlight w:val="none"/>
          <w:lang w:val="en-US" w:eastAsia="zh-CN"/>
        </w:rPr>
        <w:t>0</w:t>
      </w:r>
      <w:r>
        <w:rPr>
          <w:rFonts w:hint="eastAsia" w:ascii="宋体" w:hAnsi="宋体"/>
          <w:color w:val="auto"/>
          <w:highlight w:val="none"/>
        </w:rPr>
        <w:t>0</w:t>
      </w:r>
      <w:r>
        <w:rPr>
          <w:rFonts w:ascii="宋体" w:hAnsi="宋体" w:cs="Arial"/>
          <w:color w:val="auto"/>
          <w:highlight w:val="none"/>
        </w:rPr>
        <w:t>(</w:t>
      </w:r>
      <w:r>
        <w:rPr>
          <w:rFonts w:hint="eastAsia" w:ascii="宋体" w:hAnsi="宋体" w:cs="Arial"/>
          <w:color w:val="auto"/>
          <w:highlight w:val="none"/>
        </w:rPr>
        <w:t>北京时间</w:t>
      </w:r>
      <w:r>
        <w:rPr>
          <w:rFonts w:ascii="宋体" w:hAnsi="宋体" w:cs="Arial"/>
          <w:color w:val="auto"/>
          <w:highlight w:val="none"/>
        </w:rPr>
        <w:t>)</w:t>
      </w:r>
      <w:r>
        <w:rPr>
          <w:rFonts w:hint="eastAsia" w:ascii="宋体" w:hAnsi="宋体" w:cs="Arial"/>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auto"/>
          <w:highlight w:val="none"/>
        </w:rPr>
      </w:pPr>
      <w:r>
        <w:rPr>
          <w:rFonts w:hint="eastAsia" w:ascii="宋体" w:hAnsi="宋体" w:cs="Tahoma"/>
          <w:color w:val="auto"/>
          <w:highlight w:val="none"/>
        </w:rPr>
        <w:t>3.递交投标文件地点、开标地点：</w:t>
      </w:r>
      <w:r>
        <w:rPr>
          <w:rFonts w:hint="eastAsia" w:ascii="宋体" w:hAnsi="宋体" w:cs="Tahoma"/>
          <w:color w:val="auto"/>
          <w:highlight w:val="none"/>
          <w:lang w:eastAsia="zh-CN"/>
        </w:rPr>
        <w:t>阳江市江城区猫山四街33号A座2楼</w:t>
      </w:r>
      <w:r>
        <w:rPr>
          <w:rFonts w:hint="eastAsia" w:ascii="宋体" w:hAnsi="宋体" w:cs="Tahoma"/>
          <w:color w:val="auto"/>
          <w:highlight w:val="none"/>
          <w:lang w:val="en-US" w:eastAsia="zh-CN"/>
        </w:rPr>
        <w:t>201</w:t>
      </w:r>
      <w:r>
        <w:rPr>
          <w:rFonts w:hint="eastAsia" w:ascii="宋体" w:hAnsi="宋体" w:cs="Tahoma"/>
          <w:color w:val="auto"/>
          <w:highlight w:val="none"/>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ascii="宋体" w:hAnsi="宋体"/>
          <w:bCs/>
          <w:color w:val="auto"/>
          <w:highlight w:val="none"/>
        </w:rPr>
      </w:pPr>
      <w:r>
        <w:rPr>
          <w:rFonts w:hint="eastAsia" w:ascii="宋体" w:hAnsi="宋体" w:cs="Tahoma"/>
          <w:color w:val="auto"/>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kern w:val="28"/>
          <w:szCs w:val="21"/>
          <w:highlight w:val="none"/>
          <w:lang w:eastAsia="zh-CN"/>
        </w:rPr>
      </w:pPr>
      <w:r>
        <w:rPr>
          <w:rFonts w:hint="eastAsia" w:ascii="宋体" w:hAnsi="宋体" w:cs="Tahoma"/>
          <w:color w:val="auto"/>
          <w:kern w:val="28"/>
          <w:szCs w:val="21"/>
          <w:highlight w:val="none"/>
        </w:rPr>
        <w:t>名    称：</w:t>
      </w:r>
      <w:r>
        <w:rPr>
          <w:rFonts w:hint="eastAsia" w:ascii="宋体" w:hAnsi="宋体" w:cs="Tahoma"/>
          <w:color w:val="auto"/>
          <w:kern w:val="28"/>
          <w:szCs w:val="21"/>
          <w:highlight w:val="none"/>
          <w:lang w:eastAsia="zh-CN"/>
        </w:rPr>
        <w:t>阳江市海陵岛经济开发试验区房管中心</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cs="Tahoma"/>
          <w:color w:val="auto"/>
          <w:kern w:val="28"/>
          <w:szCs w:val="21"/>
          <w:highlight w:val="none"/>
          <w:lang w:eastAsia="zh-CN"/>
        </w:rPr>
      </w:pPr>
      <w:r>
        <w:rPr>
          <w:rFonts w:hint="eastAsia" w:ascii="宋体" w:hAnsi="宋体" w:cs="Tahoma"/>
          <w:color w:val="auto"/>
          <w:kern w:val="28"/>
          <w:szCs w:val="21"/>
          <w:highlight w:val="none"/>
        </w:rPr>
        <w:t>地    址：阳江市闸坡镇旅游新城二路（海陵区房管中心</w:t>
      </w:r>
      <w:r>
        <w:rPr>
          <w:rFonts w:hint="eastAsia" w:ascii="宋体" w:hAnsi="宋体" w:cs="Tahoma"/>
          <w:color w:val="auto"/>
          <w:kern w:val="28"/>
          <w:szCs w:val="21"/>
          <w:highlight w:val="none"/>
          <w:lang w:eastAsia="zh-CN"/>
        </w:rPr>
        <w:t>）</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联 系 人：梁义国</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联系电话：0662-3903266</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2．</w:t>
      </w:r>
      <w:r>
        <w:rPr>
          <w:rFonts w:hint="eastAsia" w:ascii="宋体" w:hAnsi="宋体" w:cs="Tahoma"/>
          <w:color w:val="auto"/>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highlight w:val="none"/>
          <w:lang w:eastAsia="zh-CN"/>
        </w:rPr>
      </w:pPr>
      <w:r>
        <w:rPr>
          <w:rFonts w:hint="eastAsia" w:ascii="宋体" w:hAnsi="宋体" w:cs="Tahoma"/>
          <w:color w:val="auto"/>
          <w:highlight w:val="none"/>
        </w:rPr>
        <w:t>名    称：</w:t>
      </w:r>
      <w:r>
        <w:rPr>
          <w:rFonts w:hint="eastAsia" w:ascii="宋体" w:hAnsi="宋体" w:cs="Tahoma"/>
          <w:color w:val="auto"/>
          <w:highlight w:val="none"/>
          <w:lang w:eastAsia="zh-CN"/>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highlight w:val="none"/>
          <w:lang w:eastAsia="zh-CN"/>
        </w:rPr>
      </w:pPr>
      <w:r>
        <w:rPr>
          <w:rFonts w:hint="eastAsia" w:ascii="宋体" w:hAnsi="宋体" w:cs="Tahoma"/>
          <w:color w:val="auto"/>
          <w:highlight w:val="none"/>
        </w:rPr>
        <w:t>地    址：</w:t>
      </w:r>
      <w:r>
        <w:rPr>
          <w:rFonts w:hint="eastAsia" w:ascii="宋体" w:hAnsi="宋体" w:cs="Tahoma"/>
          <w:color w:val="auto"/>
          <w:highlight w:val="none"/>
          <w:lang w:eastAsia="zh-CN"/>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highlight w:val="none"/>
          <w:lang w:eastAsia="zh-CN"/>
        </w:rPr>
      </w:pPr>
      <w:r>
        <w:rPr>
          <w:rFonts w:hint="eastAsia" w:ascii="宋体" w:hAnsi="宋体" w:cs="Tahoma"/>
          <w:color w:val="auto"/>
          <w:highlight w:val="none"/>
        </w:rPr>
        <w:t>联 系 人：</w:t>
      </w:r>
      <w:r>
        <w:rPr>
          <w:rFonts w:hint="eastAsia" w:ascii="宋体" w:hAnsi="宋体" w:cs="Tahoma"/>
          <w:color w:val="auto"/>
          <w:highlight w:val="none"/>
          <w:lang w:val="en-US" w:eastAsia="zh-CN"/>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highlight w:val="none"/>
        </w:rPr>
      </w:pPr>
      <w:r>
        <w:rPr>
          <w:rFonts w:hint="eastAsia" w:ascii="宋体" w:hAnsi="宋体" w:cs="Tahoma"/>
          <w:color w:val="auto"/>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highlight w:val="none"/>
        </w:rPr>
      </w:pPr>
      <w:r>
        <w:rPr>
          <w:rFonts w:hint="eastAsia" w:ascii="宋体" w:hAnsi="宋体" w:cs="Tahoma"/>
          <w:color w:val="auto"/>
          <w:highlight w:val="none"/>
        </w:rPr>
        <w:t>传    真：0662-2669666</w:t>
      </w:r>
      <w:bookmarkStart w:id="2001" w:name="_GoBack"/>
      <w:bookmarkEnd w:id="2001"/>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b/>
          <w:color w:val="auto"/>
          <w:spacing w:val="20"/>
          <w:szCs w:val="21"/>
          <w:highlight w:val="none"/>
        </w:rPr>
      </w:pPr>
      <w:r>
        <w:rPr>
          <w:rFonts w:hint="eastAsia" w:ascii="宋体" w:hAnsi="宋体" w:cs="Tahoma"/>
          <w:color w:val="auto"/>
          <w:highlight w:val="none"/>
        </w:rPr>
        <w:t>网    址：</w:t>
      </w:r>
      <w:r>
        <w:rPr>
          <w:rFonts w:ascii="宋体" w:hAnsi="宋体"/>
          <w:bCs/>
          <w:color w:val="auto"/>
          <w:highlight w:val="none"/>
        </w:rPr>
        <w:t>http://www.</w:t>
      </w:r>
      <w:r>
        <w:rPr>
          <w:rFonts w:hint="eastAsia" w:ascii="宋体" w:hAnsi="宋体"/>
          <w:bCs/>
          <w:color w:val="auto"/>
          <w:highlight w:val="none"/>
        </w:rPr>
        <w:t>yjcg</w:t>
      </w:r>
      <w:r>
        <w:rPr>
          <w:rFonts w:ascii="宋体" w:hAnsi="宋体"/>
          <w:bCs/>
          <w:color w:val="auto"/>
          <w:highlight w:val="none"/>
        </w:rPr>
        <w:t>.</w:t>
      </w:r>
      <w:r>
        <w:rPr>
          <w:rFonts w:hint="eastAsia" w:ascii="宋体" w:hAnsi="宋体"/>
          <w:bCs/>
          <w:color w:val="auto"/>
          <w:highlight w:val="none"/>
        </w:rPr>
        <w:t>cc</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bCs/>
          <w:color w:val="auto"/>
          <w:highlight w:val="none"/>
          <w:lang w:eastAsia="zh-CN"/>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bCs/>
          <w:color w:val="auto"/>
          <w:highlight w:val="none"/>
          <w:lang w:eastAsia="zh-CN"/>
        </w:rPr>
      </w:pPr>
      <w:r>
        <w:rPr>
          <w:rFonts w:hint="eastAsia" w:ascii="宋体" w:hAnsi="宋体"/>
          <w:bCs/>
          <w:color w:val="auto"/>
          <w:highlight w:val="none"/>
          <w:lang w:eastAsia="zh-CN"/>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ascii="宋体" w:hAnsi="宋体"/>
          <w:bCs/>
          <w:color w:val="auto"/>
          <w:highlight w:val="none"/>
        </w:rPr>
      </w:pPr>
      <w:bookmarkStart w:id="37" w:name="_Toc339020187"/>
      <w:bookmarkStart w:id="38" w:name="_Toc330459946"/>
      <w:bookmarkStart w:id="39" w:name="_Toc332270306"/>
      <w:bookmarkStart w:id="40" w:name="_Toc333238572"/>
      <w:bookmarkStart w:id="41" w:name="_Toc333935279"/>
      <w:bookmarkStart w:id="42" w:name="_Toc349127584"/>
      <w:bookmarkStart w:id="43" w:name="_Toc339019829"/>
      <w:bookmarkStart w:id="44" w:name="_Toc332206658"/>
      <w:bookmarkStart w:id="45" w:name="_Toc333935620"/>
      <w:bookmarkStart w:id="46" w:name="_Toc342296709"/>
      <w:bookmarkStart w:id="47" w:name="_Toc339020049"/>
      <w:bookmarkStart w:id="48" w:name="_Toc339019955"/>
      <w:bookmarkStart w:id="49" w:name="_Toc337632316"/>
      <w:bookmarkStart w:id="50" w:name="_Toc333237724"/>
      <w:bookmarkStart w:id="51" w:name="_Toc336681893"/>
      <w:bookmarkStart w:id="52" w:name="_Toc349143547"/>
      <w:bookmarkStart w:id="53" w:name="_Toc331683995"/>
      <w:bookmarkStart w:id="54" w:name="_Toc333237613"/>
      <w:bookmarkStart w:id="55" w:name="_Toc345513763"/>
      <w:bookmarkStart w:id="56" w:name="_Toc340672831"/>
      <w:bookmarkStart w:id="57" w:name="_Toc342060323"/>
      <w:bookmarkStart w:id="58" w:name="_Toc331512857"/>
      <w:bookmarkStart w:id="59" w:name="_Toc365985109"/>
      <w:bookmarkStart w:id="60" w:name="_Toc339441045"/>
      <w:bookmarkStart w:id="61" w:name="_Toc339362258"/>
      <w:bookmarkStart w:id="62" w:name="_Toc340507404"/>
      <w:bookmarkStart w:id="63" w:name="_Toc366072458"/>
      <w:bookmarkStart w:id="64" w:name="_Toc336681538"/>
      <w:bookmarkStart w:id="65" w:name="_Toc341348292"/>
      <w:bookmarkStart w:id="66" w:name="_Toc350438703"/>
      <w:bookmarkStart w:id="67" w:name="_Toc350756404"/>
      <w:bookmarkStart w:id="68" w:name="_Toc365967003"/>
      <w:bookmarkStart w:id="69" w:name="_Toc340677032"/>
      <w:r>
        <w:rPr>
          <w:rFonts w:ascii="Times New Roman" w:hAnsi="Times New Roman" w:eastAsia="宋体" w:cs="Times New Roman"/>
          <w:color w:val="auto"/>
          <w:kern w:val="2"/>
          <w:sz w:val="21"/>
          <w:szCs w:val="24"/>
          <w:highlight w:val="none"/>
          <w:lang w:val="en-US" w:eastAsia="zh-CN" w:bidi="ar-SA"/>
        </w:rPr>
        <w:t>2022年7月11日</w:t>
      </w:r>
    </w:p>
    <w:p>
      <w:pPr>
        <w:rPr>
          <w:color w:val="auto"/>
          <w:highlight w:val="none"/>
        </w:rPr>
      </w:pPr>
    </w:p>
    <w:p>
      <w:pPr>
        <w:rPr>
          <w:rFonts w:hint="eastAsia"/>
          <w:color w:val="auto"/>
          <w:highlight w:val="none"/>
        </w:rPr>
      </w:pPr>
      <w:r>
        <w:rPr>
          <w:rFonts w:hint="eastAsia"/>
          <w:color w:val="auto"/>
          <w:highlight w:val="none"/>
        </w:rPr>
        <w:br w:type="page"/>
      </w:r>
    </w:p>
    <w:p>
      <w:pPr>
        <w:pStyle w:val="3"/>
        <w:numPr>
          <w:ilvl w:val="0"/>
          <w:numId w:val="0"/>
        </w:numPr>
        <w:spacing w:beforeLines="0" w:afterLines="50" w:line="390" w:lineRule="exact"/>
        <w:ind w:left="105" w:leftChars="50" w:firstLine="480" w:firstLineChars="200"/>
        <w:rPr>
          <w:color w:val="auto"/>
          <w:highlight w:val="none"/>
        </w:rPr>
      </w:pPr>
      <w:bookmarkStart w:id="70" w:name="_Toc2615"/>
      <w:r>
        <w:rPr>
          <w:rFonts w:hint="eastAsia"/>
          <w:color w:val="auto"/>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621"/>
      <w:bookmarkStart w:id="73" w:name="_Toc330459949"/>
      <w:bookmarkStart w:id="74" w:name="_Toc333238573"/>
      <w:bookmarkStart w:id="75" w:name="_Toc75570886"/>
      <w:bookmarkStart w:id="76" w:name="_Toc333237725"/>
      <w:bookmarkStart w:id="77" w:name="_Toc333935280"/>
      <w:bookmarkStart w:id="78" w:name="_Toc333237614"/>
      <w:r>
        <w:rPr>
          <w:rFonts w:hint="eastAsia"/>
          <w:color w:val="auto"/>
          <w:highlight w:val="none"/>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auto"/>
          <w:kern w:val="0"/>
          <w:sz w:val="24"/>
          <w:highlight w:val="none"/>
        </w:rPr>
      </w:pPr>
      <w:bookmarkStart w:id="79" w:name="_Toc2404"/>
      <w:bookmarkStart w:id="80" w:name="_Toc339019982"/>
      <w:bookmarkStart w:id="81" w:name="_Toc333935654"/>
      <w:bookmarkStart w:id="82" w:name="_Toc341348305"/>
      <w:bookmarkStart w:id="83" w:name="_Toc339019856"/>
      <w:bookmarkStart w:id="84" w:name="_Toc332206675"/>
      <w:bookmarkStart w:id="85" w:name="_Toc332270313"/>
      <w:bookmarkStart w:id="86" w:name="_Toc349143556"/>
      <w:bookmarkStart w:id="87" w:name="_Toc345513834"/>
      <w:bookmarkStart w:id="88" w:name="_Toc339020062"/>
      <w:bookmarkStart w:id="89" w:name="_Toc337632325"/>
      <w:bookmarkStart w:id="90" w:name="_Toc333237644"/>
      <w:bookmarkStart w:id="91" w:name="_Toc330459952"/>
      <w:bookmarkStart w:id="92" w:name="_Toc365967040"/>
      <w:bookmarkStart w:id="93" w:name="_Toc336681547"/>
      <w:bookmarkStart w:id="94" w:name="_Toc340507409"/>
      <w:bookmarkStart w:id="95" w:name="_Toc339020200"/>
      <w:bookmarkStart w:id="96" w:name="_Toc349127593"/>
      <w:bookmarkStart w:id="97" w:name="_Toc339441054"/>
      <w:bookmarkStart w:id="98" w:name="_Toc342060341"/>
      <w:bookmarkStart w:id="99" w:name="_Toc333935313"/>
      <w:bookmarkStart w:id="100" w:name="_Toc336681902"/>
      <w:bookmarkStart w:id="101" w:name="_Toc350756417"/>
      <w:bookmarkStart w:id="102" w:name="_Toc340672836"/>
      <w:bookmarkStart w:id="103" w:name="_Toc340677037"/>
      <w:bookmarkStart w:id="104" w:name="_Toc350438716"/>
      <w:bookmarkStart w:id="105" w:name="_Toc333237755"/>
      <w:bookmarkStart w:id="106" w:name="_Toc331684005"/>
      <w:bookmarkStart w:id="107" w:name="_Toc342296727"/>
      <w:bookmarkStart w:id="108" w:name="_Toc365985146"/>
      <w:bookmarkStart w:id="109" w:name="_Toc333238600"/>
      <w:bookmarkStart w:id="110" w:name="_Toc331512865"/>
      <w:bookmarkStart w:id="111" w:name="_Toc339362267"/>
      <w:bookmarkStart w:id="112" w:name="_Toc366072495"/>
      <w:r>
        <w:rPr>
          <w:color w:val="auto"/>
          <w:kern w:val="0"/>
          <w:sz w:val="24"/>
          <w:highlight w:val="none"/>
        </w:rPr>
        <w:t xml:space="preserve">A  </w:t>
      </w:r>
      <w:r>
        <w:rPr>
          <w:rFonts w:hint="eastAsia"/>
          <w:color w:val="auto"/>
          <w:kern w:val="0"/>
          <w:sz w:val="24"/>
          <w:highlight w:val="none"/>
        </w:rPr>
        <w:t>商务要求</w:t>
      </w:r>
      <w:bookmarkEnd w:id="79"/>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r>
              <w:rPr>
                <w:color w:val="auto"/>
                <w:sz w:val="21"/>
                <w:szCs w:val="2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rPr>
              <w:t>详见第一</w:t>
            </w:r>
            <w:r>
              <w:rPr>
                <w:rFonts w:hint="eastAsia"/>
                <w:color w:val="auto"/>
                <w:sz w:val="21"/>
                <w:szCs w:val="21"/>
                <w:highlight w:val="none"/>
                <w:lang w:eastAsia="zh-CN"/>
              </w:rPr>
              <w:t>部分</w:t>
            </w:r>
            <w:r>
              <w:rPr>
                <w:rFonts w:hint="eastAsia"/>
                <w:color w:val="auto"/>
                <w:sz w:val="21"/>
                <w:szCs w:val="2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r>
              <w:rPr>
                <w:rFonts w:hint="eastAsia"/>
                <w:color w:val="auto"/>
                <w:sz w:val="21"/>
                <w:szCs w:val="2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sz w:val="21"/>
                <w:szCs w:val="21"/>
                <w:highlight w:val="none"/>
                <w:lang w:eastAsia="zh-CN"/>
              </w:rPr>
            </w:pPr>
            <w:r>
              <w:rPr>
                <w:rFonts w:hint="eastAsia"/>
                <w:color w:val="auto"/>
                <w:sz w:val="21"/>
                <w:szCs w:val="21"/>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ascii="宋体" w:hAnsi="宋体" w:cs="宋体"/>
                <w:color w:val="auto"/>
                <w:sz w:val="21"/>
                <w:szCs w:val="21"/>
                <w:highlight w:val="none"/>
              </w:rPr>
              <w:t>采购合同由中标供应商与采购人双方签订，签订时间为《中标通知书》</w:t>
            </w:r>
            <w:r>
              <w:rPr>
                <w:rFonts w:hint="eastAsia" w:ascii="宋体" w:hAnsi="宋体" w:cs="宋体"/>
                <w:color w:val="auto"/>
                <w:sz w:val="21"/>
                <w:szCs w:val="21"/>
                <w:highlight w:val="none"/>
                <w:lang w:val="en-US" w:eastAsia="zh-CN"/>
              </w:rPr>
              <w:t>发出之日起</w:t>
            </w:r>
            <w:r>
              <w:rPr>
                <w:rFonts w:hint="eastAsia" w:ascii="宋体" w:hAnsi="宋体" w:cs="宋体"/>
                <w:color w:val="auto"/>
                <w:sz w:val="21"/>
                <w:szCs w:val="21"/>
                <w:highlight w:val="none"/>
              </w:rPr>
              <w:t>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sz w:val="21"/>
                <w:szCs w:val="21"/>
                <w:highlight w:val="none"/>
                <w:lang w:eastAsia="zh-CN"/>
              </w:rPr>
            </w:pPr>
            <w:r>
              <w:rPr>
                <w:rFonts w:hint="eastAsia"/>
                <w:color w:val="auto"/>
                <w:sz w:val="21"/>
                <w:szCs w:val="21"/>
                <w:highlight w:val="none"/>
                <w:lang w:val="en-US" w:eastAsia="zh-CN"/>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lang w:val="en-US" w:eastAsia="zh-CN"/>
              </w:rPr>
              <w:t>服务</w:t>
            </w:r>
            <w:r>
              <w:rPr>
                <w:rFonts w:hint="eastAsia"/>
                <w:b/>
                <w:color w:val="auto"/>
                <w:sz w:val="21"/>
                <w:szCs w:val="21"/>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lang w:val="en-US" w:eastAsia="zh-CN"/>
              </w:rPr>
              <w:t>采购人指定地点</w:t>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sz w:val="21"/>
                <w:szCs w:val="21"/>
                <w:highlight w:val="none"/>
                <w:lang w:eastAsia="zh-CN"/>
              </w:rPr>
            </w:pPr>
            <w:r>
              <w:rPr>
                <w:rFonts w:hint="eastAsia"/>
                <w:color w:val="auto"/>
                <w:sz w:val="21"/>
                <w:szCs w:val="21"/>
                <w:highlight w:val="none"/>
                <w:lang w:val="en-US" w:eastAsia="zh-CN"/>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商务要求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pStyle w:val="44"/>
              <w:ind w:left="0" w:leftChars="0" w:firstLine="0" w:firstLineChars="0"/>
              <w:rPr>
                <w:rFonts w:hint="eastAsia"/>
                <w:color w:val="auto"/>
                <w:sz w:val="21"/>
                <w:szCs w:val="21"/>
                <w:highlight w:val="none"/>
              </w:rPr>
            </w:pPr>
            <w:r>
              <w:rPr>
                <w:rFonts w:hint="eastAsia"/>
                <w:color w:val="auto"/>
                <w:sz w:val="21"/>
                <w:szCs w:val="21"/>
                <w:highlight w:val="none"/>
              </w:rPr>
              <w:t>1.投标人所提供服务应符合或优于国家现行相关标准。没有国家标准的，执行现行的行业标准。</w:t>
            </w:r>
          </w:p>
          <w:p>
            <w:pPr>
              <w:pStyle w:val="44"/>
              <w:ind w:left="0" w:leftChars="0" w:firstLine="0" w:firstLineChars="0"/>
              <w:rPr>
                <w:rFonts w:hint="eastAsia"/>
                <w:color w:val="auto"/>
                <w:sz w:val="21"/>
                <w:szCs w:val="21"/>
                <w:highlight w:val="none"/>
              </w:rPr>
            </w:pPr>
            <w:r>
              <w:rPr>
                <w:rFonts w:hint="eastAsia"/>
                <w:color w:val="auto"/>
                <w:sz w:val="21"/>
                <w:szCs w:val="21"/>
                <w:highlight w:val="none"/>
              </w:rPr>
              <w:t>2.投标人必须具备良好的资产质量状况、良好的偿付能力、良好的运营能力和严格的内部控制制度,保证账户资金安全。</w:t>
            </w:r>
          </w:p>
          <w:p>
            <w:pPr>
              <w:pStyle w:val="44"/>
              <w:ind w:left="0" w:leftChars="0" w:firstLine="0" w:firstLineChars="0"/>
              <w:rPr>
                <w:color w:val="auto"/>
                <w:sz w:val="21"/>
                <w:szCs w:val="21"/>
                <w:highlight w:val="none"/>
              </w:rPr>
            </w:pPr>
            <w:r>
              <w:rPr>
                <w:rFonts w:hint="eastAsia"/>
                <w:color w:val="auto"/>
                <w:sz w:val="21"/>
                <w:szCs w:val="21"/>
                <w:highlight w:val="none"/>
              </w:rPr>
              <w:t>3.投标人应对我区经济发展做出贡献。近一年来投标人对我区各行业贷款总规模情况良好。</w:t>
            </w:r>
          </w:p>
          <w:p>
            <w:pPr>
              <w:pStyle w:val="44"/>
              <w:ind w:left="0" w:leftChars="0" w:firstLine="0" w:firstLineChars="0"/>
              <w:rPr>
                <w:color w:val="auto"/>
                <w:sz w:val="21"/>
                <w:szCs w:val="21"/>
                <w:highlight w:val="none"/>
              </w:rPr>
            </w:pPr>
            <w:r>
              <w:rPr>
                <w:color w:val="auto"/>
                <w:sz w:val="21"/>
                <w:szCs w:val="21"/>
                <w:highlight w:val="none"/>
              </w:rPr>
              <w:t>4</w:t>
            </w:r>
            <w:r>
              <w:rPr>
                <w:rFonts w:hint="eastAsia"/>
                <w:color w:val="auto"/>
                <w:sz w:val="21"/>
                <w:szCs w:val="21"/>
                <w:highlight w:val="none"/>
              </w:rPr>
              <w:t>.投标人具有对公业务开展能力</w:t>
            </w:r>
            <w:r>
              <w:rPr>
                <w:rFonts w:hint="eastAsia"/>
                <w:b/>
                <w:bCs/>
                <w:color w:val="auto"/>
                <w:sz w:val="21"/>
                <w:szCs w:val="21"/>
                <w:highlight w:val="none"/>
              </w:rPr>
              <w:t>（提供承诺书）</w:t>
            </w:r>
            <w:r>
              <w:rPr>
                <w:rFonts w:hint="eastAsia"/>
                <w:color w:val="auto"/>
                <w:sz w:val="21"/>
                <w:szCs w:val="21"/>
                <w:highlight w:val="none"/>
              </w:rPr>
              <w:t>；</w:t>
            </w:r>
          </w:p>
          <w:p>
            <w:pPr>
              <w:pStyle w:val="44"/>
              <w:ind w:left="0" w:leftChars="0" w:firstLine="0" w:firstLineChars="0"/>
              <w:rPr>
                <w:rFonts w:hint="eastAsia"/>
                <w:color w:val="auto"/>
                <w:sz w:val="21"/>
                <w:szCs w:val="21"/>
                <w:highlight w:val="none"/>
              </w:rPr>
            </w:pPr>
            <w:r>
              <w:rPr>
                <w:color w:val="auto"/>
                <w:sz w:val="21"/>
                <w:szCs w:val="21"/>
                <w:highlight w:val="none"/>
              </w:rPr>
              <w:t>5.</w:t>
            </w:r>
            <w:r>
              <w:rPr>
                <w:rFonts w:hint="eastAsia"/>
                <w:color w:val="auto"/>
                <w:sz w:val="21"/>
                <w:szCs w:val="21"/>
                <w:highlight w:val="none"/>
              </w:rPr>
              <w:t>投标人如因政策性原因可加盖所在分行的公章或帐目往来。</w:t>
            </w:r>
          </w:p>
          <w:p>
            <w:pPr>
              <w:pStyle w:val="44"/>
              <w:ind w:left="0" w:leftChars="0" w:firstLine="0" w:firstLineChars="0"/>
              <w:rPr>
                <w:color w:val="auto"/>
                <w:sz w:val="21"/>
                <w:szCs w:val="21"/>
                <w:highlight w:val="none"/>
              </w:rPr>
            </w:pPr>
            <w:r>
              <w:rPr>
                <w:rFonts w:hint="eastAsia"/>
                <w:color w:val="auto"/>
                <w:sz w:val="21"/>
                <w:szCs w:val="21"/>
                <w:highlight w:val="none"/>
                <w:lang w:val="en-US" w:eastAsia="zh-CN"/>
              </w:rPr>
              <w:t>6.中标供应商在合法合规的基础上无条件配合及支持采购人开展工作。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lang w:eastAsia="zh-CN"/>
              </w:rPr>
            </w:pPr>
            <w:r>
              <w:rPr>
                <w:rFonts w:hint="eastAsia"/>
                <w:color w:val="auto"/>
                <w:sz w:val="21"/>
                <w:szCs w:val="21"/>
                <w:highlight w:val="none"/>
                <w:lang w:eastAsia="zh-CN"/>
              </w:rPr>
              <w:t>投标人的投标方案应包括但不限于以下内容：</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1.业务的组织（包括业务组织架构，参与业务的人员配备和素质、管理体系等）。内部规章制度、中国人民银行阳江市中心支行或阳江银监局核准的数据材料；</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2.投标人需提供正在实施的利率文件或业务协议或业务操作规程等材料；</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3.业务处理流程；</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4.保证资金及时、安全、准确汇划的措施；</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5.划拨资金、汇总、报表处理措施；</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6.信息反馈的措施、手段；</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7.紧急业务处理程序和时间限定；</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8.保密措施；</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9.对财政部门的其他服务承诺和优惠措施；</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10.纠错处理措施；</w:t>
            </w:r>
          </w:p>
          <w:p>
            <w:pPr>
              <w:spacing w:line="320" w:lineRule="exact"/>
              <w:rPr>
                <w:rFonts w:hint="eastAsia"/>
                <w:color w:val="auto"/>
                <w:sz w:val="21"/>
                <w:szCs w:val="21"/>
                <w:highlight w:val="none"/>
                <w:lang w:eastAsia="zh-CN"/>
              </w:rPr>
            </w:pPr>
            <w:r>
              <w:rPr>
                <w:rFonts w:hint="eastAsia"/>
                <w:color w:val="auto"/>
                <w:sz w:val="21"/>
                <w:szCs w:val="21"/>
                <w:highlight w:val="none"/>
                <w:lang w:eastAsia="zh-CN"/>
              </w:rPr>
              <w:t>11.廉政承诺书；</w:t>
            </w:r>
          </w:p>
          <w:p>
            <w:pPr>
              <w:spacing w:line="320" w:lineRule="exact"/>
              <w:rPr>
                <w:rFonts w:hint="eastAsia"/>
                <w:color w:val="auto"/>
                <w:sz w:val="21"/>
                <w:szCs w:val="21"/>
                <w:highlight w:val="none"/>
              </w:rPr>
            </w:pPr>
            <w:r>
              <w:rPr>
                <w:rFonts w:hint="eastAsia"/>
                <w:color w:val="auto"/>
                <w:sz w:val="21"/>
                <w:szCs w:val="21"/>
                <w:highlight w:val="none"/>
                <w:lang w:eastAsia="zh-CN"/>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sz w:val="21"/>
                <w:szCs w:val="21"/>
                <w:highlight w:val="none"/>
              </w:rPr>
            </w:pPr>
            <w:r>
              <w:rPr>
                <w:rFonts w:hint="eastAsia"/>
                <w:b/>
                <w:color w:val="auto"/>
                <w:sz w:val="21"/>
                <w:szCs w:val="21"/>
                <w:highlight w:val="none"/>
                <w:lang w:eastAsia="zh-CN"/>
              </w:rPr>
              <w:t>盖章说明</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lang w:eastAsia="zh-CN"/>
              </w:rPr>
            </w:pPr>
            <w:r>
              <w:rPr>
                <w:rFonts w:hint="eastAsia"/>
                <w:color w:val="auto"/>
                <w:sz w:val="21"/>
                <w:szCs w:val="21"/>
                <w:highlight w:val="none"/>
                <w:lang w:val="en-US" w:eastAsia="zh-CN"/>
              </w:rPr>
              <w:t>如</w:t>
            </w:r>
            <w:r>
              <w:rPr>
                <w:rFonts w:hint="eastAsia"/>
                <w:color w:val="auto"/>
                <w:sz w:val="21"/>
                <w:szCs w:val="21"/>
                <w:highlight w:val="none"/>
                <w:lang w:eastAsia="zh-CN"/>
              </w:rPr>
              <w:t>投标人</w:t>
            </w:r>
            <w:r>
              <w:rPr>
                <w:rFonts w:hint="eastAsia"/>
                <w:color w:val="auto"/>
                <w:sz w:val="21"/>
                <w:szCs w:val="21"/>
                <w:highlight w:val="none"/>
                <w:lang w:val="en-US" w:eastAsia="zh-CN"/>
              </w:rPr>
              <w:t>所在支行没有公章</w:t>
            </w:r>
            <w:r>
              <w:rPr>
                <w:rFonts w:hint="eastAsia"/>
                <w:color w:val="auto"/>
                <w:sz w:val="21"/>
                <w:szCs w:val="21"/>
                <w:highlight w:val="none"/>
                <w:lang w:eastAsia="zh-CN"/>
              </w:rPr>
              <w:t>可</w:t>
            </w:r>
            <w:r>
              <w:rPr>
                <w:rFonts w:hint="eastAsia"/>
                <w:color w:val="auto"/>
                <w:sz w:val="21"/>
                <w:szCs w:val="21"/>
                <w:highlight w:val="none"/>
                <w:lang w:val="en-US" w:eastAsia="zh-CN"/>
              </w:rPr>
              <w:t>使用</w:t>
            </w:r>
            <w:r>
              <w:rPr>
                <w:rFonts w:hint="eastAsia"/>
                <w:color w:val="auto"/>
                <w:sz w:val="21"/>
                <w:szCs w:val="21"/>
                <w:highlight w:val="none"/>
                <w:lang w:eastAsia="zh-CN"/>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auto"/>
                <w:highlight w:val="none"/>
                <w:lang w:val="en-US" w:eastAsia="zh-CN"/>
              </w:rPr>
            </w:pPr>
            <w:r>
              <w:rPr>
                <w:rFonts w:hint="eastAsia"/>
                <w:color w:val="auto"/>
                <w:highlight w:val="none"/>
                <w:lang w:val="en-US" w:eastAsia="zh-CN"/>
              </w:rPr>
              <w:t>8</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w:t>
            </w:r>
          </w:p>
          <w:p>
            <w:pPr>
              <w:spacing w:line="300" w:lineRule="exact"/>
              <w:jc w:val="center"/>
              <w:rPr>
                <w:rFonts w:ascii="宋体" w:hAnsi="宋体"/>
                <w:color w:val="auto"/>
                <w:szCs w:val="21"/>
                <w:highlight w:val="none"/>
              </w:rPr>
            </w:pPr>
            <w:r>
              <w:rPr>
                <w:rFonts w:hint="eastAsia" w:ascii="宋体" w:hAnsi="宋体"/>
                <w:color w:val="auto"/>
                <w:szCs w:val="21"/>
                <w:highlight w:val="none"/>
              </w:rPr>
              <w:t>形式提交）。</w:t>
            </w:r>
          </w:p>
          <w:p>
            <w:pPr>
              <w:spacing w:line="300" w:lineRule="exact"/>
              <w:jc w:val="center"/>
              <w:rPr>
                <w:rFonts w:ascii="宋体" w:hAnsi="宋体"/>
                <w:color w:val="auto"/>
                <w:szCs w:val="21"/>
                <w:highlight w:val="none"/>
              </w:rPr>
            </w:pPr>
            <w:r>
              <w:rPr>
                <w:rFonts w:hint="eastAsia" w:ascii="宋体" w:hAnsi="宋体" w:eastAsia="宋体" w:cs="宋体"/>
                <w:b/>
                <w:color w:val="auto"/>
                <w:sz w:val="21"/>
                <w:szCs w:val="21"/>
                <w:highlight w:val="none"/>
              </w:rPr>
              <w:t>提交主体：应以投标人名义交纳，如由上级行或其他上级金融机构代交的，须出具《情况说明书》，并说明理由。</w:t>
            </w:r>
            <w:r>
              <w:rPr>
                <w:rFonts w:hint="eastAsia" w:ascii="宋体" w:hAnsi="宋体" w:eastAsia="宋体" w:cs="宋体"/>
                <w:color w:val="auto"/>
                <w:sz w:val="21"/>
                <w:szCs w:val="21"/>
                <w:highlight w:val="none"/>
              </w:rPr>
              <w:t>应注明“</w:t>
            </w:r>
            <w:r>
              <w:rPr>
                <w:rFonts w:hint="eastAsia" w:ascii="宋体" w:hAnsi="宋体" w:eastAsia="宋体" w:cs="宋体"/>
                <w:b/>
                <w:color w:val="auto"/>
                <w:sz w:val="21"/>
                <w:szCs w:val="21"/>
                <w:highlight w:val="none"/>
              </w:rPr>
              <w:t>（项目编号）投标保证金</w:t>
            </w:r>
            <w:r>
              <w:rPr>
                <w:rFonts w:hint="eastAsia" w:ascii="宋体" w:hAnsi="宋体" w:eastAsia="宋体" w:cs="宋体"/>
                <w:color w:val="auto"/>
                <w:sz w:val="2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auto"/>
                <w:szCs w:val="21"/>
                <w:highlight w:val="none"/>
              </w:rPr>
            </w:pPr>
            <w:r>
              <w:rPr>
                <w:rFonts w:hint="eastAsia" w:ascii="宋体" w:hAnsi="宋体"/>
                <w:color w:val="auto"/>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auto"/>
                <w:szCs w:val="21"/>
                <w:highlight w:val="none"/>
              </w:rPr>
            </w:pPr>
            <w:r>
              <w:rPr>
                <w:rFonts w:hint="eastAsia" w:ascii="宋体" w:hAnsi="宋体" w:cs="宋体"/>
                <w:b/>
                <w:color w:val="auto"/>
                <w:sz w:val="21"/>
                <w:szCs w:val="21"/>
                <w:highlight w:val="none"/>
                <w:lang w:val="en-US" w:eastAsia="zh-CN"/>
              </w:rPr>
              <w:t>人</w:t>
            </w:r>
            <w:r>
              <w:rPr>
                <w:rFonts w:hint="eastAsia" w:ascii="宋体" w:hAnsi="宋体" w:eastAsia="宋体" w:cs="宋体"/>
                <w:b/>
                <w:color w:val="auto"/>
                <w:sz w:val="21"/>
                <w:szCs w:val="21"/>
                <w:highlight w:val="none"/>
              </w:rPr>
              <w:t>民币</w:t>
            </w:r>
            <w:r>
              <w:rPr>
                <w:rFonts w:hint="eastAsia" w:ascii="宋体" w:hAnsi="宋体" w:eastAsia="宋体" w:cs="宋体"/>
                <w:b/>
                <w:color w:val="auto"/>
                <w:sz w:val="21"/>
                <w:szCs w:val="21"/>
                <w:highlight w:val="none"/>
                <w:lang w:eastAsia="zh-CN"/>
              </w:rPr>
              <w:t>伍万</w:t>
            </w:r>
            <w:r>
              <w:rPr>
                <w:rFonts w:hint="eastAsia" w:ascii="宋体" w:hAnsi="宋体" w:eastAsia="宋体" w:cs="宋体"/>
                <w:b/>
                <w:color w:val="auto"/>
                <w:sz w:val="21"/>
                <w:szCs w:val="21"/>
                <w:highlight w:val="none"/>
              </w:rPr>
              <w:t>元整（￥</w:t>
            </w:r>
            <w:r>
              <w:rPr>
                <w:rFonts w:hint="eastAsia" w:ascii="宋体" w:hAnsi="宋体" w:eastAsia="宋体" w:cs="宋体"/>
                <w:b/>
                <w:color w:val="auto"/>
                <w:sz w:val="21"/>
                <w:szCs w:val="21"/>
                <w:highlight w:val="none"/>
                <w:lang w:val="en-US" w:eastAsia="zh-CN"/>
              </w:rPr>
              <w:t>50000</w:t>
            </w:r>
            <w:r>
              <w:rPr>
                <w:rFonts w:hint="eastAsia" w:ascii="宋体" w:hAnsi="宋体" w:eastAsia="宋体" w:cs="宋体"/>
                <w:b/>
                <w:color w:val="auto"/>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auto"/>
                <w:szCs w:val="21"/>
                <w:highlight w:val="none"/>
                <w:lang w:eastAsia="zh-CN"/>
              </w:rPr>
            </w:pPr>
            <w:r>
              <w:rPr>
                <w:rFonts w:hint="eastAsia" w:ascii="宋体" w:hAnsi="宋体" w:eastAsia="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auto"/>
                <w:szCs w:val="21"/>
                <w:highlight w:val="none"/>
                <w:lang w:eastAsia="zh-CN"/>
              </w:rPr>
            </w:pPr>
            <w:r>
              <w:rPr>
                <w:rFonts w:hint="eastAsia" w:ascii="宋体" w:hAnsi="宋体" w:eastAsia="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auto"/>
                <w:szCs w:val="21"/>
                <w:highlight w:val="none"/>
              </w:rPr>
            </w:pPr>
            <w:r>
              <w:rPr>
                <w:rFonts w:hint="eastAsia" w:ascii="宋体" w:hAnsi="宋体"/>
                <w:color w:val="auto"/>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auto"/>
                <w:szCs w:val="21"/>
                <w:highlight w:val="none"/>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中标服务费</w:t>
            </w:r>
          </w:p>
          <w:p>
            <w:pPr>
              <w:spacing w:line="300" w:lineRule="exact"/>
              <w:jc w:val="center"/>
              <w:rPr>
                <w:rFonts w:ascii="宋体" w:hAnsi="宋体"/>
                <w:color w:val="auto"/>
                <w:szCs w:val="21"/>
                <w:highlight w:val="none"/>
              </w:rPr>
            </w:pPr>
            <w:r>
              <w:rPr>
                <w:rFonts w:hint="eastAsia" w:ascii="宋体" w:hAnsi="宋体"/>
                <w:bCs/>
                <w:color w:val="auto"/>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color w:val="auto"/>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eastAsia="宋体" w:cs="宋体"/>
                <w:bCs/>
                <w:color w:val="auto"/>
                <w:sz w:val="21"/>
                <w:szCs w:val="21"/>
                <w:highlight w:val="none"/>
              </w:rPr>
              <w:t>根据发改价格[2015]299号文的规定</w:t>
            </w:r>
            <w:r>
              <w:rPr>
                <w:rFonts w:hint="eastAsia" w:ascii="宋体" w:hAnsi="宋体" w:eastAsia="宋体" w:cs="宋体"/>
                <w:color w:val="auto"/>
                <w:sz w:val="21"/>
                <w:szCs w:val="21"/>
                <w:highlight w:val="none"/>
              </w:rPr>
              <w:t>，招标代理服务费实行市场调节价。</w:t>
            </w:r>
            <w:r>
              <w:rPr>
                <w:rFonts w:hint="eastAsia" w:ascii="宋体" w:hAnsi="宋体" w:cs="宋体"/>
                <w:color w:val="auto"/>
                <w:sz w:val="21"/>
                <w:szCs w:val="21"/>
                <w:highlight w:val="none"/>
                <w:lang w:val="en-US" w:eastAsia="zh-CN"/>
              </w:rPr>
              <w:t>各</w:t>
            </w:r>
            <w:r>
              <w:rPr>
                <w:rFonts w:hint="eastAsia" w:ascii="宋体" w:hAnsi="宋体"/>
                <w:color w:val="auto"/>
                <w:szCs w:val="21"/>
                <w:highlight w:val="none"/>
              </w:rPr>
              <w:t>中标供应商分别在领取《中标通知书》前应一次性交纳招标代理服务费</w:t>
            </w:r>
            <w:r>
              <w:rPr>
                <w:rFonts w:hint="eastAsia" w:ascii="宋体" w:hAnsi="宋体" w:eastAsia="宋体" w:cs="宋体"/>
                <w:color w:val="auto"/>
                <w:sz w:val="21"/>
                <w:szCs w:val="21"/>
                <w:highlight w:val="none"/>
                <w:lang w:eastAsia="zh-CN"/>
              </w:rPr>
              <w:t>伍</w:t>
            </w:r>
            <w:r>
              <w:rPr>
                <w:rFonts w:hint="eastAsia" w:ascii="宋体" w:hAnsi="宋体" w:eastAsia="宋体" w:cs="宋体"/>
                <w:color w:val="auto"/>
                <w:sz w:val="21"/>
                <w:szCs w:val="21"/>
                <w:highlight w:val="none"/>
              </w:rPr>
              <w:t>万元整（￥</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中国农业银行股份有限公司阳江江城支行</w:t>
            </w:r>
          </w:p>
        </w:tc>
      </w:tr>
    </w:tbl>
    <w:p>
      <w:pPr>
        <w:adjustRightInd w:val="0"/>
        <w:snapToGrid w:val="0"/>
        <w:spacing w:line="360" w:lineRule="auto"/>
        <w:rPr>
          <w:b/>
          <w:color w:val="auto"/>
          <w:szCs w:val="21"/>
          <w:highlight w:val="none"/>
        </w:rPr>
      </w:pPr>
    </w:p>
    <w:p>
      <w:pPr>
        <w:adjustRightInd w:val="0"/>
        <w:snapToGrid w:val="0"/>
        <w:spacing w:line="360" w:lineRule="auto"/>
        <w:rPr>
          <w:rFonts w:ascii="宋体" w:hAnsi="宋体"/>
          <w:bCs/>
          <w:color w:val="auto"/>
          <w:highlight w:val="none"/>
        </w:rPr>
      </w:pPr>
    </w:p>
    <w:p>
      <w:pPr>
        <w:rPr>
          <w:rFonts w:hint="eastAsia"/>
          <w:color w:val="auto"/>
          <w:kern w:val="0"/>
          <w:sz w:val="24"/>
          <w:highlight w:val="none"/>
        </w:rPr>
      </w:pPr>
      <w:r>
        <w:rPr>
          <w:rFonts w:hint="eastAsia"/>
          <w:color w:val="auto"/>
          <w:kern w:val="0"/>
          <w:sz w:val="24"/>
          <w:highlight w:val="none"/>
        </w:rPr>
        <w:br w:type="page"/>
      </w:r>
    </w:p>
    <w:p>
      <w:pPr>
        <w:pStyle w:val="4"/>
        <w:numPr>
          <w:ilvl w:val="0"/>
          <w:numId w:val="0"/>
        </w:numPr>
        <w:spacing w:beforeLines="150" w:after="0" w:line="360" w:lineRule="auto"/>
        <w:rPr>
          <w:color w:val="auto"/>
          <w:kern w:val="0"/>
          <w:sz w:val="24"/>
          <w:highlight w:val="none"/>
        </w:rPr>
      </w:pPr>
      <w:bookmarkStart w:id="113" w:name="_Toc19566"/>
      <w:r>
        <w:rPr>
          <w:rFonts w:hint="eastAsia"/>
          <w:color w:val="auto"/>
          <w:kern w:val="0"/>
          <w:sz w:val="24"/>
          <w:highlight w:val="none"/>
        </w:rPr>
        <w:t>B  技术要求</w:t>
      </w:r>
      <w:bookmarkEnd w:id="113"/>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一、项目需求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本项目</w:t>
      </w:r>
      <w:r>
        <w:rPr>
          <w:rFonts w:hint="eastAsia" w:ascii="宋体" w:hAnsi="宋体" w:cs="宋体"/>
          <w:b w:val="0"/>
          <w:bCs w:val="0"/>
          <w:color w:val="auto"/>
          <w:sz w:val="21"/>
          <w:szCs w:val="21"/>
          <w:highlight w:val="none"/>
          <w:lang w:val="en-US" w:eastAsia="zh-CN"/>
        </w:rPr>
        <w:t>的服务内容是对</w:t>
      </w:r>
      <w:r>
        <w:rPr>
          <w:rFonts w:hint="eastAsia" w:ascii="宋体" w:hAnsi="宋体" w:eastAsia="宋体" w:cs="宋体"/>
          <w:b w:val="0"/>
          <w:bCs w:val="0"/>
          <w:color w:val="auto"/>
          <w:sz w:val="21"/>
          <w:szCs w:val="21"/>
          <w:highlight w:val="none"/>
          <w:lang w:eastAsia="zh-CN"/>
        </w:rPr>
        <w:t>阳江市海陵岛经济开发试验区住宅专项维修资金进行管理，投标人可根据自身优势在项目需求的基础上增加有建设性的方案及服务内容。专户监管银行需提供符合维修资金管理的条件，以保证维修资金管理工作的正常开展，为维修资金管理机构，房地产开发建设单位，各物业管理区域的业主、业主大会，物业服务企业等提供优质的金融服务。具体内容包括：</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1.账务处理和账务管理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1.1专户监管银行应提出维修资金专户账户设置、对账、资金结算、账户变更业务等方案。专户监管银行应按阳江市海陵岛经济开发试验区房管中心要求提供各类统计报表，包括：维修资金交存、支付、增值、续筹等情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1.2专户监管银行应提出科学、可行的账务处理实施方案和措施，提出年度各种报表、年度结息凭证和结息清单时限，提供专项维修资金增值分析报告；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1.3专户监管银行应建立完善的专项维修资金收支业务操作流程和操作规范；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1.4专户监管银行应提出资金安全方案。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2.维修资金归集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2.1首期专项维修资金的归集：专户监管银行应依据缴存通知书确保物业项目与首期归集的专项维修资金一一关联，出具维修资金专用收据，并将维修资金归集的相关数据实时传送到维修资金管理系统的区房管中心维修资金管理终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3.维修资金使用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3.1专户监管银行应根据住宅专项维修资金管理办法，通过维修资金管理系统认真核对收款人名称、收款人账号、收款金额等数据，办理维修资金支付手续，保证维修资金结算及时、安全、准确；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3.2专户监管银行应配合阳江市海陵岛经济开发试验区房管中心做好资金支取后的分摊、记账以及其他相关工作；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3.3专户监管银行应根据住宅专项维修资金管理办法，通过维修资金管理系统认真核对收款人名称、收款人账号、收款金额等数据，办理维修资金支付手续，保证售后公房维修资金结算及时、安全、准确；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4.维修资金退款业务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4.1专户监管银行应根据阳江市海陵岛经济开发试验区房管中心制定的退款方案，为交款方因差错造成需进行的维修资金退款，办理退款；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5.信息反馈及查询业务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5.1按照阳江市海陵岛经济开发试验区房管中心要求，做好对账查询工作，及时反馈信息，发现问题及时查明原因并于当日解决。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5.2专户监管银行应提供多种查询服务手段。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eastAsia="zh-CN"/>
        </w:rPr>
        <w:t>.相关票据管理及对账单服务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eastAsia="zh-CN"/>
        </w:rPr>
        <w:t xml:space="preserve">.1专户监管银行接受阳江市海陵岛经济开发试验区房管中心委托，应向专项维修资金的缴款方开具专用收据，同时应严格按照相关规定保管单据，并按阳江市海陵岛经济开发试验区房管中心的要求及时送达单据。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7</w:t>
      </w:r>
      <w:r>
        <w:rPr>
          <w:rFonts w:hint="eastAsia" w:ascii="宋体" w:hAnsi="宋体" w:eastAsia="宋体" w:cs="宋体"/>
          <w:b/>
          <w:bCs/>
          <w:color w:val="auto"/>
          <w:sz w:val="21"/>
          <w:szCs w:val="21"/>
          <w:highlight w:val="none"/>
          <w:lang w:eastAsia="zh-CN"/>
        </w:rPr>
        <w:t>.信息系统技术服务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eastAsia="zh-CN"/>
        </w:rPr>
        <w:t>.1专户监管银行应提出阳江市海陵岛经济开发试验区住宅专项维修资金管理系统的开发、建设、维护和升级方案；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eastAsia="zh-CN"/>
        </w:rPr>
        <w:t>.2专户监管银行应提出配合专项维修资金管理系统阳江市海陵岛经济开发试验区房管中心端的建设、维护和升级方案；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eastAsia="zh-CN"/>
        </w:rPr>
        <w:t>.3专户监管银行应提出专项维修资金管理系统的专户监管银行端建设、升级方案；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eastAsia="zh-CN"/>
        </w:rPr>
        <w:t>.4专户监管银行应制定系统安全以及故障应急处理措施，建立预防专项维修资金管理系统无法正常运转的应急机制，保证专项维修资金业务的正常开展。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8</w:t>
      </w:r>
      <w:r>
        <w:rPr>
          <w:rFonts w:hint="eastAsia" w:ascii="宋体" w:hAnsi="宋体" w:eastAsia="宋体" w:cs="宋体"/>
          <w:b/>
          <w:bCs/>
          <w:color w:val="auto"/>
          <w:sz w:val="21"/>
          <w:szCs w:val="21"/>
          <w:highlight w:val="none"/>
          <w:lang w:eastAsia="zh-CN"/>
        </w:rPr>
        <w:t>.协助管理服务承诺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.1专户监管银行应牢固树立为阳江市海陵岛经济开发试验区维修资金管理机构、业主、业主大会、物业服务企业、开发建设单位等服务的意识；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.2专户监管银行应协助开展住宅专项维修资金收取、追缴、使用等管理工作，提出具体方案；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.3专户监管银行应协助阳江市海陵岛经济开发试验区房管中心开展全市住宅专项维修资金归集、管理、使用等工作，并提出具体方案；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.4专户监管银行应协助阳江市海陵岛经济开发试验区房管中心做好专项维修资金业务人员、专项维修资金服务对象（如业主大会、物业服务企业、开发建设单位等）以及相关管理主体的培训，并承担相关费用；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.5专户监管银行应协助开展专项维修资金法规、政策宣传等工作，提出具体方案</w:t>
      </w:r>
      <w:r>
        <w:rPr>
          <w:rFonts w:hint="eastAsia" w:ascii="宋体" w:hAnsi="宋体" w:cs="宋体"/>
          <w:b w:val="0"/>
          <w:bCs w:val="0"/>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.6专户监管银行应协助开展专项维修资金政策及相关问题研究工作，提出具体方案；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.7专户监管银行对受托业务的详细服务承诺；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.8专户监管银行安排人员协助市维修资金管理机构开展日常管理工作，对有临时性工作量大需集中人员的活动能抽调工作人员协助工作。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9</w:t>
      </w:r>
      <w:r>
        <w:rPr>
          <w:rFonts w:hint="eastAsia" w:ascii="宋体" w:hAnsi="宋体" w:eastAsia="宋体" w:cs="宋体"/>
          <w:b/>
          <w:bCs/>
          <w:color w:val="auto"/>
          <w:sz w:val="21"/>
          <w:szCs w:val="21"/>
          <w:highlight w:val="none"/>
          <w:lang w:eastAsia="zh-CN"/>
        </w:rPr>
        <w:t>.延伸金融服务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lang w:eastAsia="zh-CN"/>
        </w:rPr>
        <w:t>.1专户监管银行应为市专项维修资金管理机构、业主、业主大会、物业服务企业、开发建设单位等提供多功能、全方位优质服务；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lang w:eastAsia="zh-CN"/>
        </w:rPr>
        <w:t>.2根据专项维修资金沉淀时间长、规模大、稳定性强等特点，在保证专项维修资金安全、及时支付和不违反相关政府法规的前提下，专户监管银行应提供切实可行的保值、增值方案，实现服务协议书所规定的住宅专项维修资金年收益率目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lang w:eastAsia="zh-CN"/>
        </w:rPr>
        <w:t>.3专户监管银行应承诺免除物业服务企业日常收取住宅专项维修资金托收账户的开设、维护、管理等相关费用；承诺免除业主的小额账户管理费等。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1</w:t>
      </w:r>
      <w:r>
        <w:rPr>
          <w:rFonts w:hint="eastAsia" w:ascii="宋体" w:hAnsi="宋体" w:eastAsia="宋体" w:cs="宋体"/>
          <w:b/>
          <w:bCs/>
          <w:color w:val="auto"/>
          <w:sz w:val="21"/>
          <w:szCs w:val="21"/>
          <w:highlight w:val="none"/>
          <w:lang w:val="en-US" w:eastAsia="zh-CN"/>
        </w:rPr>
        <w:t>0</w:t>
      </w:r>
      <w:r>
        <w:rPr>
          <w:rFonts w:hint="eastAsia" w:ascii="宋体" w:hAnsi="宋体" w:eastAsia="宋体" w:cs="宋体"/>
          <w:b/>
          <w:bCs/>
          <w:color w:val="auto"/>
          <w:sz w:val="21"/>
          <w:szCs w:val="21"/>
          <w:highlight w:val="none"/>
          <w:lang w:eastAsia="zh-CN"/>
        </w:rPr>
        <w:t>.监督考核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eastAsia="zh-CN"/>
        </w:rPr>
        <w:t>.1专户监管银行须认真执行专项维修资金管理和金融行业的各项法律、法规，规范操作行为；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eastAsia="zh-CN"/>
        </w:rPr>
        <w:t>.2专户监管银行须接受阳江市海陵岛经济开发试验区房管中心、阳江市海陵岛经济开发试验区财政局的监督和检查，杜绝差错发生；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eastAsia="zh-CN"/>
        </w:rPr>
        <w:t>.3专户监管银行应向阳江市海陵岛经济开发试验区房管中心提交专项维修资金管理季度报告和年度报告。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1</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.专项维修资金管理系统要求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1专户监管银行应配合专项维修资金管理系统阳江市海陵岛经济开发试验区房管中心端的建设、维护和升级工作，负责提供每年度的建设、维护和升级费用以及人员培训费用，以满足专项维修资金收缴和管理工作的需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2专户监管银行应建立专户监管银行端的专项维修金专用系统，以配合阳江市海陵岛经济开发试验区房管中心实现专项维修资金归集、使用、分摊等的信息化管理，并根据阳江市海陵岛经济开发试验区房管中心提出的业务需求变更或系统升级需要对银行端系统做相应的变更和优化、升级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.3 专项维修资金管理系统因自然灾害、社会异常事件等不可抗力因素遭到损坏需重建时，系统重建费用由专户监管银行承担。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.4专户监管银行端系统以及阳江市海陵岛经济开发试验区房管中心端系统的建设、维护和升级费用由专户监管银行承担。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.5 专户监管银行应配备合理的专业人员保证专项维修资金管理系统的正常运行。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lang w:eastAsia="zh-CN"/>
        </w:rPr>
        <w:t>维修资金在专户监管银行之间的分配方法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阳江市海陵岛经济开发试验区房管中心在中标银行均开设维修资金专户，并按照如下方法在专户监管银行之间分配维修资金：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1.存量维修资金的分配方法：中标银行为原专户银行的，其存量维修资金保持不变。此次招标中未中标的原专户银行的存量维修资金部分，</w:t>
      </w:r>
      <w:r>
        <w:rPr>
          <w:rFonts w:hint="eastAsia" w:ascii="宋体" w:hAnsi="宋体" w:eastAsia="宋体" w:cs="宋体"/>
          <w:b w:val="0"/>
          <w:bCs w:val="0"/>
          <w:color w:val="auto"/>
          <w:sz w:val="21"/>
          <w:szCs w:val="21"/>
          <w:highlight w:val="none"/>
          <w:lang w:val="en-US" w:eastAsia="zh-CN"/>
        </w:rPr>
        <w:t>由采购人统筹安排</w:t>
      </w:r>
      <w:r>
        <w:rPr>
          <w:rFonts w:hint="eastAsia" w:ascii="宋体" w:hAnsi="宋体" w:eastAsia="宋体" w:cs="宋体"/>
          <w:b w:val="0"/>
          <w:bCs w:val="0"/>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2.新增维修资金的分配方法：</w:t>
      </w:r>
      <w:r>
        <w:rPr>
          <w:rFonts w:hint="eastAsia" w:ascii="宋体" w:hAnsi="宋体" w:eastAsia="宋体" w:cs="宋体"/>
          <w:b w:val="0"/>
          <w:bCs w:val="0"/>
          <w:color w:val="auto"/>
          <w:sz w:val="21"/>
          <w:szCs w:val="21"/>
          <w:highlight w:val="none"/>
          <w:lang w:val="en-US" w:eastAsia="zh-CN"/>
        </w:rPr>
        <w:t>由采购人统筹安排</w:t>
      </w:r>
      <w:r>
        <w:rPr>
          <w:rFonts w:hint="eastAsia" w:ascii="宋体" w:hAnsi="宋体" w:eastAsia="宋体" w:cs="宋体"/>
          <w:b w:val="0"/>
          <w:bCs w:val="0"/>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eastAsia="zh-CN"/>
        </w:rPr>
      </w:pPr>
      <w:r>
        <w:rPr>
          <w:rFonts w:hint="eastAsia" w:ascii="宋体" w:hAnsi="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lang w:eastAsia="zh-CN"/>
        </w:rPr>
        <w:t>、其它说明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1.住宅专项维修资金在服务期内的年收益率需符合中国人民银行利率政策。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2.中标单位在服务期内如遇基准利率调整，住宅专项维修资金年收益率须于当日做出相应调整。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3.中标人应共同承担物业管理信息化平台开发建设费用（包括住宅专项维修资金信息系统开发、监理费用，软硬件、网络、机房建设、人员培训、后期维护等费用），采购人不承担该部分相关费用。</w:t>
      </w:r>
    </w:p>
    <w:p>
      <w:pPr>
        <w:rPr>
          <w:rFonts w:hint="default" w:ascii="宋体" w:hAnsi="宋体" w:eastAsia="宋体" w:cs="宋体"/>
          <w:color w:val="auto"/>
          <w:sz w:val="21"/>
          <w:szCs w:val="21"/>
          <w:highlight w:val="none"/>
          <w:lang w:val="en-US" w:eastAsia="zh-CN"/>
        </w:rPr>
      </w:pPr>
    </w:p>
    <w:p>
      <w:pP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附表：</w:t>
      </w:r>
    </w:p>
    <w:tbl>
      <w:tblPr>
        <w:tblStyle w:val="46"/>
        <w:tblW w:w="0" w:type="auto"/>
        <w:jc w:val="center"/>
        <w:tblLayout w:type="fixed"/>
        <w:tblCellMar>
          <w:top w:w="0" w:type="dxa"/>
          <w:left w:w="108" w:type="dxa"/>
          <w:bottom w:w="0" w:type="dxa"/>
          <w:right w:w="108" w:type="dxa"/>
        </w:tblCellMar>
      </w:tblPr>
      <w:tblGrid>
        <w:gridCol w:w="1088"/>
        <w:gridCol w:w="5750"/>
        <w:gridCol w:w="2368"/>
      </w:tblGrid>
      <w:tr>
        <w:tblPrEx>
          <w:tblCellMar>
            <w:top w:w="0" w:type="dxa"/>
            <w:left w:w="108" w:type="dxa"/>
            <w:bottom w:w="0" w:type="dxa"/>
            <w:right w:w="108" w:type="dxa"/>
          </w:tblCellMar>
        </w:tblPrEx>
        <w:trPr>
          <w:trHeight w:val="405" w:hRule="atLeast"/>
          <w:jc w:val="center"/>
        </w:trPr>
        <w:tc>
          <w:tcPr>
            <w:tcW w:w="9206" w:type="dxa"/>
            <w:gridSpan w:val="3"/>
            <w:tcBorders>
              <w:top w:val="nil"/>
              <w:left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20</w:t>
            </w:r>
            <w:r>
              <w:rPr>
                <w:rFonts w:hint="eastAsia" w:ascii="宋体" w:hAnsi="宋体" w:cs="宋体"/>
                <w:b/>
                <w:color w:val="auto"/>
                <w:sz w:val="21"/>
                <w:szCs w:val="21"/>
                <w:highlight w:val="none"/>
                <w:lang w:val="en-US" w:eastAsia="zh-CN"/>
              </w:rPr>
              <w:t>21</w:t>
            </w:r>
            <w:r>
              <w:rPr>
                <w:rFonts w:hint="eastAsia" w:ascii="宋体" w:hAnsi="宋体" w:cs="宋体"/>
                <w:b/>
                <w:color w:val="auto"/>
                <w:sz w:val="21"/>
                <w:szCs w:val="21"/>
                <w:highlight w:val="none"/>
              </w:rPr>
              <w:t>年度投标人经营指标情况表</w:t>
            </w:r>
          </w:p>
        </w:tc>
      </w:tr>
      <w:tr>
        <w:tblPrEx>
          <w:tblCellMar>
            <w:top w:w="0" w:type="dxa"/>
            <w:left w:w="108" w:type="dxa"/>
            <w:bottom w:w="0" w:type="dxa"/>
            <w:right w:w="108" w:type="dxa"/>
          </w:tblCellMar>
        </w:tblPrEx>
        <w:trPr>
          <w:trHeight w:val="300" w:hRule="atLeast"/>
          <w:jc w:val="center"/>
        </w:trPr>
        <w:tc>
          <w:tcPr>
            <w:tcW w:w="6838"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编制单位：</w:t>
            </w:r>
          </w:p>
        </w:tc>
        <w:tc>
          <w:tcPr>
            <w:tcW w:w="236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单位：万元（本外币）</w:t>
            </w:r>
          </w:p>
        </w:tc>
      </w:tr>
      <w:tr>
        <w:tblPrEx>
          <w:tblCellMar>
            <w:top w:w="0" w:type="dxa"/>
            <w:left w:w="108" w:type="dxa"/>
            <w:bottom w:w="0" w:type="dxa"/>
            <w:right w:w="108" w:type="dxa"/>
          </w:tblCellMar>
        </w:tblPrEx>
        <w:trPr>
          <w:trHeight w:val="465" w:hRule="atLeast"/>
          <w:jc w:val="center"/>
        </w:trPr>
        <w:tc>
          <w:tcPr>
            <w:tcW w:w="108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5750"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项目</w:t>
            </w:r>
          </w:p>
        </w:tc>
        <w:tc>
          <w:tcPr>
            <w:tcW w:w="236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金额</w:t>
            </w:r>
          </w:p>
        </w:tc>
      </w:tr>
      <w:tr>
        <w:tblPrEx>
          <w:tblCellMar>
            <w:top w:w="0" w:type="dxa"/>
            <w:left w:w="108" w:type="dxa"/>
            <w:bottom w:w="0" w:type="dxa"/>
            <w:right w:w="108" w:type="dxa"/>
          </w:tblCellMar>
        </w:tblPrEx>
        <w:trPr>
          <w:trHeight w:val="735" w:hRule="atLeast"/>
          <w:jc w:val="center"/>
        </w:trPr>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w:t>
            </w:r>
          </w:p>
        </w:tc>
        <w:tc>
          <w:tcPr>
            <w:tcW w:w="5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 xml:space="preserve">贷款总规模（贷款余额） </w:t>
            </w:r>
          </w:p>
        </w:tc>
        <w:tc>
          <w:tcPr>
            <w:tcW w:w="236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　</w:t>
            </w:r>
          </w:p>
        </w:tc>
      </w:tr>
      <w:tr>
        <w:tblPrEx>
          <w:tblCellMar>
            <w:top w:w="0" w:type="dxa"/>
            <w:left w:w="108" w:type="dxa"/>
            <w:bottom w:w="0" w:type="dxa"/>
            <w:right w:w="108" w:type="dxa"/>
          </w:tblCellMar>
        </w:tblPrEx>
        <w:trPr>
          <w:trHeight w:val="735" w:hRule="atLeast"/>
          <w:jc w:val="center"/>
        </w:trPr>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w:t>
            </w:r>
          </w:p>
        </w:tc>
        <w:tc>
          <w:tcPr>
            <w:tcW w:w="5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 xml:space="preserve">存款总规模（存款余额） </w:t>
            </w:r>
          </w:p>
        </w:tc>
        <w:tc>
          <w:tcPr>
            <w:tcW w:w="236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　</w:t>
            </w:r>
          </w:p>
        </w:tc>
      </w:tr>
      <w:tr>
        <w:tblPrEx>
          <w:tblCellMar>
            <w:top w:w="0" w:type="dxa"/>
            <w:left w:w="108" w:type="dxa"/>
            <w:bottom w:w="0" w:type="dxa"/>
            <w:right w:w="108" w:type="dxa"/>
          </w:tblCellMar>
        </w:tblPrEx>
        <w:trPr>
          <w:trHeight w:val="735" w:hRule="atLeast"/>
          <w:jc w:val="center"/>
        </w:trPr>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w:t>
            </w:r>
          </w:p>
        </w:tc>
        <w:tc>
          <w:tcPr>
            <w:tcW w:w="5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 xml:space="preserve">不良贷款率（不良贷款余额/各项贷款余额）（%） </w:t>
            </w:r>
          </w:p>
        </w:tc>
        <w:tc>
          <w:tcPr>
            <w:tcW w:w="23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 xml:space="preserve">         　</w:t>
            </w:r>
          </w:p>
        </w:tc>
      </w:tr>
      <w:tr>
        <w:tblPrEx>
          <w:tblCellMar>
            <w:top w:w="0" w:type="dxa"/>
            <w:left w:w="108" w:type="dxa"/>
            <w:bottom w:w="0" w:type="dxa"/>
            <w:right w:w="108" w:type="dxa"/>
          </w:tblCellMar>
        </w:tblPrEx>
        <w:trPr>
          <w:trHeight w:val="690" w:hRule="atLeast"/>
          <w:jc w:val="center"/>
        </w:trPr>
        <w:tc>
          <w:tcPr>
            <w:tcW w:w="1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4</w:t>
            </w:r>
          </w:p>
        </w:tc>
        <w:tc>
          <w:tcPr>
            <w:tcW w:w="5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lang w:val="en-US" w:eastAsia="zh-CN"/>
              </w:rPr>
              <w:t>2021</w:t>
            </w:r>
            <w:r>
              <w:rPr>
                <w:rFonts w:hint="eastAsia" w:ascii="宋体" w:hAnsi="宋体" w:cs="宋体"/>
                <w:b/>
                <w:color w:val="auto"/>
                <w:sz w:val="21"/>
                <w:szCs w:val="21"/>
                <w:highlight w:val="none"/>
              </w:rPr>
              <w:t>年12月31日物业维修基金帐户余额</w:t>
            </w:r>
          </w:p>
        </w:tc>
        <w:tc>
          <w:tcPr>
            <w:tcW w:w="23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 xml:space="preserve">         　</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★注：本表数据为2021年12月31日的时点数，投标人须如实反映本表数据，如查实虚报数据，保留追究法律责任的权利。（本表数据允许四舍五入造成的数据误差）</w:t>
      </w:r>
    </w:p>
    <w:p>
      <w:pPr>
        <w:pStyle w:val="44"/>
        <w:rPr>
          <w:rFonts w:hint="eastAsia"/>
          <w:color w:val="auto"/>
          <w:highlight w:val="none"/>
        </w:rPr>
      </w:pPr>
    </w:p>
    <w:p>
      <w:pPr>
        <w:rPr>
          <w:rFonts w:hint="eastAsia"/>
          <w:color w:val="auto"/>
          <w:highlight w:val="none"/>
        </w:rPr>
      </w:pPr>
      <w:r>
        <w:rPr>
          <w:rFonts w:hint="eastAsia"/>
          <w:color w:val="auto"/>
          <w:highlight w:val="none"/>
        </w:rPr>
        <w:br w:type="page"/>
      </w:r>
    </w:p>
    <w:p>
      <w:pPr>
        <w:pStyle w:val="3"/>
        <w:numPr>
          <w:ilvl w:val="0"/>
          <w:numId w:val="0"/>
        </w:numPr>
        <w:spacing w:beforeLines="0" w:line="240" w:lineRule="auto"/>
        <w:rPr>
          <w:color w:val="auto"/>
          <w:highlight w:val="none"/>
        </w:rPr>
      </w:pPr>
      <w:bookmarkStart w:id="114" w:name="_Toc25866"/>
      <w:r>
        <w:rPr>
          <w:rFonts w:hint="eastAsia"/>
          <w:color w:val="auto"/>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rFonts w:hint="eastAsia"/>
          <w:color w:val="auto"/>
          <w:szCs w:val="21"/>
          <w:highlight w:val="none"/>
        </w:rPr>
      </w:pPr>
      <w:bookmarkStart w:id="115" w:name="_Toc456272919"/>
      <w:bookmarkStart w:id="116" w:name="_Toc456648358"/>
      <w:bookmarkStart w:id="117" w:name="_Toc434832495"/>
      <w:bookmarkStart w:id="118" w:name="_Toc19385"/>
      <w:r>
        <w:rPr>
          <w:rFonts w:hint="eastAsia"/>
          <w:color w:val="auto"/>
          <w:szCs w:val="21"/>
          <w:highlight w:val="none"/>
        </w:rPr>
        <w:t>投标人须知前附表</w:t>
      </w:r>
      <w:bookmarkEnd w:id="115"/>
      <w:bookmarkEnd w:id="116"/>
      <w:bookmarkEnd w:id="117"/>
      <w:bookmarkEnd w:id="118"/>
    </w:p>
    <w:tbl>
      <w:tblPr>
        <w:tblStyle w:val="46"/>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auto"/>
                <w:szCs w:val="21"/>
                <w:highlight w:val="none"/>
              </w:rPr>
            </w:pPr>
            <w:r>
              <w:rPr>
                <w:rFonts w:hint="eastAsia" w:ascii="宋体" w:hAnsi="宋体"/>
                <w:b/>
                <w:color w:val="auto"/>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auto"/>
                <w:szCs w:val="21"/>
                <w:highlight w:val="none"/>
              </w:rPr>
            </w:pPr>
            <w:r>
              <w:rPr>
                <w:rFonts w:hint="eastAsia" w:ascii="宋体" w:hAnsi="宋体"/>
                <w:b/>
                <w:color w:val="auto"/>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r>
              <w:rPr>
                <w:rFonts w:ascii="宋体" w:hAnsi="宋体"/>
                <w:b/>
                <w:color w:val="auto"/>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auto"/>
                <w:szCs w:val="21"/>
                <w:highlight w:val="none"/>
                <w:lang w:val="en-GB"/>
              </w:rPr>
            </w:pPr>
            <w:r>
              <w:rPr>
                <w:rFonts w:hint="eastAsia"/>
                <w:color w:val="auto"/>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auto"/>
                <w:szCs w:val="21"/>
                <w:highlight w:val="none"/>
              </w:rPr>
            </w:pPr>
            <w:r>
              <w:rPr>
                <w:rFonts w:hint="eastAsia" w:ascii="宋体"/>
                <w:bCs/>
                <w:color w:val="auto"/>
                <w:highlight w:val="none"/>
              </w:rPr>
              <w:t>评标委员会</w:t>
            </w:r>
            <w:r>
              <w:rPr>
                <w:rFonts w:hint="eastAsia" w:ascii="宋体"/>
                <w:bCs/>
                <w:color w:val="auto"/>
                <w:highlight w:val="none"/>
                <w:lang w:val="en-US" w:eastAsia="zh-CN"/>
              </w:rPr>
              <w:t>根据政府采购相关法律法规组成</w:t>
            </w:r>
            <w:r>
              <w:rPr>
                <w:rFonts w:hint="eastAsia" w:ascii="宋体"/>
                <w:bCs/>
                <w:color w:val="auto"/>
                <w:highlight w:val="none"/>
              </w:rPr>
              <w:t>，评审专家根据相关法律法规及法律程序</w:t>
            </w:r>
            <w:r>
              <w:rPr>
                <w:rFonts w:hint="eastAsia" w:ascii="宋体"/>
                <w:bCs/>
                <w:color w:val="auto"/>
                <w:highlight w:val="none"/>
                <w:lang w:eastAsia="zh-CN"/>
              </w:rPr>
              <w:t>，</w:t>
            </w:r>
            <w:r>
              <w:rPr>
                <w:rFonts w:hint="eastAsia" w:ascii="宋体"/>
                <w:bCs/>
                <w:color w:val="auto"/>
                <w:highlight w:val="none"/>
              </w:rPr>
              <w:t>依据本次采购活动的特点和需要在政府指定的专家库中随机抽取产生,</w:t>
            </w:r>
            <w:r>
              <w:rPr>
                <w:rFonts w:hint="eastAsia" w:ascii="宋体"/>
                <w:b/>
                <w:bCs/>
                <w:color w:val="auto"/>
                <w:highlight w:val="none"/>
              </w:rPr>
              <w:t>专家数量共</w:t>
            </w:r>
            <w:r>
              <w:rPr>
                <w:rFonts w:hint="eastAsia" w:ascii="宋体"/>
                <w:b/>
                <w:bCs/>
                <w:color w:val="auto"/>
                <w:highlight w:val="none"/>
                <w:u w:val="single"/>
              </w:rPr>
              <w:t xml:space="preserve"> 5</w:t>
            </w:r>
            <w:r>
              <w:rPr>
                <w:rFonts w:ascii="宋体"/>
                <w:b/>
                <w:bCs/>
                <w:color w:val="auto"/>
                <w:highlight w:val="none"/>
                <w:u w:val="single"/>
              </w:rPr>
              <w:t xml:space="preserve"> </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r>
              <w:rPr>
                <w:rFonts w:ascii="宋体" w:hAnsi="宋体"/>
                <w:b/>
                <w:color w:val="auto"/>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投标资料数量和封装</w:t>
            </w:r>
            <w:r>
              <w:rPr>
                <w:rFonts w:hint="eastAsia" w:ascii="宋体" w:hAnsi="宋体"/>
                <w:color w:val="auto"/>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auto"/>
                <w:highlight w:val="none"/>
                <w:lang w:eastAsia="zh-CN"/>
              </w:rPr>
            </w:pPr>
            <w:r>
              <w:rPr>
                <w:rFonts w:hint="eastAsia" w:ascii="宋体" w:hAnsi="宋体"/>
                <w:b/>
                <w:bCs/>
                <w:color w:val="auto"/>
                <w:szCs w:val="21"/>
                <w:highlight w:val="none"/>
                <w:lang w:val="en-US" w:eastAsia="zh-CN"/>
              </w:rPr>
              <w:t>共提供4份</w:t>
            </w:r>
            <w:r>
              <w:rPr>
                <w:rFonts w:hint="eastAsia" w:ascii="宋体" w:hAnsi="宋体"/>
                <w:b/>
                <w:bCs/>
                <w:color w:val="auto"/>
                <w:szCs w:val="21"/>
                <w:highlight w:val="none"/>
              </w:rPr>
              <w:t>投标</w:t>
            </w:r>
            <w:r>
              <w:rPr>
                <w:rFonts w:hint="eastAsia" w:ascii="宋体" w:hAnsi="宋体"/>
                <w:b/>
                <w:bCs/>
                <w:color w:val="auto"/>
                <w:szCs w:val="21"/>
                <w:highlight w:val="none"/>
                <w:lang w:val="en-US" w:eastAsia="zh-CN"/>
              </w:rPr>
              <w:t>资料，分别封装：</w:t>
            </w:r>
            <w:r>
              <w:rPr>
                <w:rFonts w:hint="eastAsia" w:ascii="宋体" w:hAnsi="宋体"/>
                <w:b/>
                <w:bCs/>
                <w:color w:val="auto"/>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auto"/>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auto"/>
                <w:szCs w:val="21"/>
                <w:highlight w:val="none"/>
                <w:lang w:val="en-US" w:eastAsia="zh-CN"/>
              </w:rPr>
            </w:pPr>
            <w:r>
              <w:rPr>
                <w:rFonts w:hint="eastAsia" w:ascii="宋体" w:hAnsi="宋体"/>
                <w:b/>
                <w:bCs/>
                <w:color w:val="auto"/>
                <w:szCs w:val="21"/>
                <w:highlight w:val="none"/>
                <w:lang w:val="en-US" w:eastAsia="zh-CN"/>
              </w:rPr>
              <w:t>1、</w:t>
            </w:r>
            <w:r>
              <w:rPr>
                <w:rFonts w:hint="eastAsia" w:ascii="宋体" w:hAnsi="宋体"/>
                <w:b/>
                <w:bCs/>
                <w:color w:val="auto"/>
                <w:szCs w:val="21"/>
                <w:highlight w:val="none"/>
              </w:rPr>
              <w:t>资格审查文件</w:t>
            </w:r>
            <w:r>
              <w:rPr>
                <w:rFonts w:hint="eastAsia" w:ascii="宋体" w:hAnsi="宋体"/>
                <w:b/>
                <w:bCs/>
                <w:color w:val="auto"/>
                <w:szCs w:val="21"/>
                <w:highlight w:val="none"/>
                <w:lang w:eastAsia="zh-CN"/>
              </w:rPr>
              <w:t>。</w:t>
            </w:r>
            <w:r>
              <w:rPr>
                <w:rFonts w:hint="eastAsia"/>
                <w:color w:val="auto"/>
                <w:highlight w:val="none"/>
                <w:lang w:eastAsia="zh-CN"/>
              </w:rPr>
              <w:t>（</w:t>
            </w:r>
            <w:r>
              <w:rPr>
                <w:rFonts w:hint="eastAsia"/>
                <w:color w:val="auto"/>
                <w:highlight w:val="none"/>
                <w:lang w:val="en-US" w:eastAsia="zh-CN"/>
              </w:rPr>
              <w:t>内含</w:t>
            </w:r>
            <w:r>
              <w:rPr>
                <w:rFonts w:hint="eastAsia"/>
                <w:color w:val="auto"/>
                <w:highlight w:val="none"/>
                <w:u w:val="single"/>
                <w:lang w:val="en-US" w:eastAsia="zh-CN"/>
              </w:rPr>
              <w:t xml:space="preserve"> 1 </w:t>
            </w:r>
            <w:r>
              <w:rPr>
                <w:rFonts w:hint="eastAsia"/>
                <w:color w:val="auto"/>
                <w:highlight w:val="none"/>
                <w:lang w:val="en-US" w:eastAsia="zh-CN"/>
              </w:rPr>
              <w:t>正</w:t>
            </w:r>
            <w:r>
              <w:rPr>
                <w:rFonts w:hint="eastAsia"/>
                <w:color w:val="auto"/>
                <w:highlight w:val="none"/>
                <w:u w:val="single"/>
                <w:lang w:val="en-US" w:eastAsia="zh-CN"/>
              </w:rPr>
              <w:t xml:space="preserve"> 4 </w:t>
            </w:r>
            <w:r>
              <w:rPr>
                <w:rFonts w:hint="eastAsia"/>
                <w:color w:val="auto"/>
                <w:highlight w:val="none"/>
                <w:lang w:val="en-US" w:eastAsia="zh-CN"/>
              </w:rPr>
              <w:t>副，</w:t>
            </w:r>
            <w:r>
              <w:rPr>
                <w:rFonts w:hint="eastAsia" w:ascii="宋体" w:hAnsi="宋体"/>
                <w:bCs/>
                <w:color w:val="auto"/>
                <w:szCs w:val="21"/>
                <w:highlight w:val="none"/>
              </w:rPr>
              <w:t>独立装订成册</w:t>
            </w:r>
            <w:r>
              <w:rPr>
                <w:rFonts w:hint="eastAsia"/>
                <w:color w:val="auto"/>
                <w:highlight w:val="none"/>
                <w:lang w:eastAsia="zh-CN"/>
              </w:rPr>
              <w:t>。</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auto"/>
                <w:szCs w:val="21"/>
                <w:highlight w:val="none"/>
                <w:lang w:val="en-US" w:eastAsia="zh-CN"/>
              </w:rPr>
            </w:pPr>
            <w:r>
              <w:rPr>
                <w:rFonts w:hint="eastAsia" w:ascii="宋体" w:hAnsi="宋体"/>
                <w:b/>
                <w:bCs/>
                <w:color w:val="auto"/>
                <w:szCs w:val="21"/>
                <w:highlight w:val="none"/>
                <w:lang w:val="en-US" w:eastAsia="zh-CN"/>
              </w:rPr>
              <w:t>2、</w:t>
            </w:r>
            <w:r>
              <w:rPr>
                <w:rFonts w:hint="eastAsia" w:ascii="宋体" w:hAnsi="宋体"/>
                <w:b/>
                <w:bCs/>
                <w:color w:val="auto"/>
                <w:szCs w:val="21"/>
                <w:highlight w:val="none"/>
              </w:rPr>
              <w:t>商务及技术文件</w:t>
            </w:r>
            <w:r>
              <w:rPr>
                <w:rFonts w:hint="eastAsia" w:ascii="宋体" w:hAnsi="宋体"/>
                <w:b/>
                <w:bCs/>
                <w:color w:val="auto"/>
                <w:szCs w:val="21"/>
                <w:highlight w:val="none"/>
                <w:lang w:eastAsia="zh-CN"/>
              </w:rPr>
              <w:t>。</w:t>
            </w:r>
            <w:r>
              <w:rPr>
                <w:rFonts w:hint="eastAsia"/>
                <w:color w:val="auto"/>
                <w:highlight w:val="none"/>
                <w:lang w:val="en-US" w:eastAsia="zh-CN"/>
              </w:rPr>
              <w:t>（内含</w:t>
            </w:r>
            <w:r>
              <w:rPr>
                <w:rFonts w:hint="eastAsia"/>
                <w:color w:val="auto"/>
                <w:highlight w:val="none"/>
                <w:u w:val="single"/>
                <w:lang w:val="en-US" w:eastAsia="zh-CN"/>
              </w:rPr>
              <w:t xml:space="preserve"> 1 </w:t>
            </w:r>
            <w:r>
              <w:rPr>
                <w:rFonts w:hint="eastAsia"/>
                <w:color w:val="auto"/>
                <w:highlight w:val="none"/>
                <w:lang w:val="en-US" w:eastAsia="zh-CN"/>
              </w:rPr>
              <w:t>正</w:t>
            </w:r>
            <w:r>
              <w:rPr>
                <w:rFonts w:hint="eastAsia"/>
                <w:color w:val="auto"/>
                <w:highlight w:val="none"/>
                <w:u w:val="single"/>
                <w:lang w:val="en-US" w:eastAsia="zh-CN"/>
              </w:rPr>
              <w:t xml:space="preserve"> 4 </w:t>
            </w:r>
            <w:r>
              <w:rPr>
                <w:rFonts w:hint="eastAsia"/>
                <w:color w:val="auto"/>
                <w:highlight w:val="none"/>
                <w:lang w:val="en-US" w:eastAsia="zh-CN"/>
              </w:rPr>
              <w:t>副，</w:t>
            </w:r>
            <w:r>
              <w:rPr>
                <w:rFonts w:hint="eastAsia" w:ascii="宋体" w:hAnsi="宋体"/>
                <w:bCs/>
                <w:color w:val="auto"/>
                <w:szCs w:val="21"/>
                <w:highlight w:val="none"/>
              </w:rPr>
              <w:t>独立装订成册</w:t>
            </w:r>
            <w:r>
              <w:rPr>
                <w:rFonts w:hint="eastAsia"/>
                <w:color w:val="auto"/>
                <w:highlight w:val="none"/>
                <w:lang w:eastAsia="zh-CN"/>
              </w:rPr>
              <w:t>。</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3"/>
              </w:numPr>
              <w:tabs>
                <w:tab w:val="left" w:pos="528"/>
                <w:tab w:val="left" w:pos="783"/>
              </w:tabs>
              <w:kinsoku/>
              <w:wordWrap/>
              <w:overflowPunct/>
              <w:topLinePunct w:val="0"/>
              <w:bidi w:val="0"/>
              <w:snapToGrid/>
              <w:spacing w:line="400" w:lineRule="exact"/>
              <w:jc w:val="left"/>
              <w:rPr>
                <w:rFonts w:hint="eastAsia"/>
                <w:b/>
                <w:bCs/>
                <w:color w:val="auto"/>
                <w:szCs w:val="21"/>
                <w:highlight w:val="none"/>
                <w:lang w:val="en-US" w:eastAsia="zh-CN"/>
              </w:rPr>
            </w:pPr>
            <w:r>
              <w:rPr>
                <w:rFonts w:hint="eastAsia"/>
                <w:b/>
                <w:bCs/>
                <w:color w:val="auto"/>
                <w:szCs w:val="21"/>
                <w:highlight w:val="none"/>
              </w:rPr>
              <w:t>开标信封</w:t>
            </w:r>
            <w:r>
              <w:rPr>
                <w:rFonts w:hint="eastAsia"/>
                <w:b/>
                <w:bCs/>
                <w:color w:val="auto"/>
                <w:szCs w:val="21"/>
                <w:highlight w:val="none"/>
                <w:lang w:eastAsia="zh-CN"/>
              </w:rPr>
              <w:t>。</w:t>
            </w:r>
            <w:r>
              <w:rPr>
                <w:rFonts w:hint="eastAsia"/>
                <w:color w:val="auto"/>
                <w:highlight w:val="none"/>
                <w:lang w:val="en-US" w:eastAsia="zh-CN"/>
              </w:rPr>
              <w:t>（内含“开标一览表”、“投标保证金”、“保证金退付书”、“法定代表人（负责人）证明书”和“法定代表人（负责人）授权书”</w:t>
            </w:r>
            <w:r>
              <w:rPr>
                <w:rFonts w:hint="eastAsia"/>
                <w:color w:val="auto"/>
                <w:highlight w:val="none"/>
                <w:lang w:eastAsia="zh-CN"/>
              </w:rPr>
              <w:t>。</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auto"/>
                <w:szCs w:val="21"/>
                <w:highlight w:val="none"/>
                <w:lang w:val="en-US" w:eastAsia="zh-CN"/>
              </w:rPr>
            </w:pPr>
            <w:r>
              <w:rPr>
                <w:rFonts w:hint="eastAsia"/>
                <w:b/>
                <w:bCs/>
                <w:color w:val="auto"/>
                <w:szCs w:val="21"/>
                <w:highlight w:val="none"/>
                <w:lang w:val="en-US" w:eastAsia="zh-CN"/>
              </w:rPr>
              <w:t>4、</w:t>
            </w:r>
            <w:r>
              <w:rPr>
                <w:rFonts w:hint="eastAsia"/>
                <w:b/>
                <w:bCs/>
                <w:color w:val="auto"/>
                <w:highlight w:val="none"/>
                <w:lang w:val="en-US" w:eastAsia="zh-CN"/>
              </w:rPr>
              <w:t>投标文件电子版。</w:t>
            </w:r>
            <w:r>
              <w:rPr>
                <w:rFonts w:hint="eastAsia"/>
                <w:color w:val="auto"/>
                <w:highlight w:val="none"/>
                <w:lang w:val="en-US" w:eastAsia="zh-CN"/>
              </w:rPr>
              <w:t>（以光盘或U盘提供，内含PDF及可编辑的投标文件电子版1份，</w:t>
            </w:r>
            <w:r>
              <w:rPr>
                <w:rFonts w:hint="eastAsia"/>
                <w:color w:val="auto"/>
                <w:szCs w:val="21"/>
                <w:highlight w:val="none"/>
              </w:rPr>
              <w:t>在封面上注明“</w:t>
            </w:r>
            <w:r>
              <w:rPr>
                <w:rFonts w:hint="eastAsia"/>
                <w:color w:val="auto"/>
                <w:szCs w:val="21"/>
                <w:highlight w:val="none"/>
                <w:lang w:val="en-US" w:eastAsia="zh-CN"/>
              </w:rPr>
              <w:t>公司名称-</w:t>
            </w:r>
            <w:r>
              <w:rPr>
                <w:rFonts w:hint="eastAsia"/>
                <w:color w:val="auto"/>
                <w:highlight w:val="none"/>
                <w:lang w:val="en-US" w:eastAsia="zh-CN"/>
              </w:rPr>
              <w:t>投标文件电子版</w:t>
            </w:r>
            <w:r>
              <w:rPr>
                <w:rFonts w:hint="eastAsia"/>
                <w:color w:val="auto"/>
                <w:szCs w:val="21"/>
                <w:highlight w:val="none"/>
              </w:rPr>
              <w:t>”</w:t>
            </w:r>
            <w:r>
              <w:rPr>
                <w:rFonts w:hint="eastAsia"/>
                <w:color w:val="auto"/>
                <w:highlight w:val="none"/>
                <w:lang w:eastAsia="zh-CN"/>
              </w:rPr>
              <w:t>。</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auto"/>
                <w:highlight w:val="none"/>
              </w:rPr>
            </w:pPr>
            <w:r>
              <w:rPr>
                <w:rFonts w:hint="eastAsia" w:ascii="宋体" w:hAnsi="宋体"/>
                <w:b/>
                <w:bCs w:val="0"/>
                <w:color w:val="auto"/>
                <w:szCs w:val="21"/>
                <w:highlight w:val="none"/>
                <w:lang w:val="en-US" w:eastAsia="zh-CN"/>
              </w:rPr>
              <w:t>所有投标资料</w:t>
            </w:r>
            <w:r>
              <w:rPr>
                <w:rFonts w:hint="eastAsia" w:ascii="宋体"/>
                <w:bCs/>
                <w:color w:val="auto"/>
                <w:szCs w:val="21"/>
                <w:highlight w:val="none"/>
              </w:rPr>
              <w:t>分别</w:t>
            </w:r>
            <w:r>
              <w:rPr>
                <w:rFonts w:hint="eastAsia" w:ascii="宋体" w:hAnsi="宋体"/>
                <w:bCs/>
                <w:color w:val="auto"/>
                <w:szCs w:val="21"/>
                <w:highlight w:val="none"/>
              </w:rPr>
              <w:t>密封在不透明的外层封装中，</w:t>
            </w:r>
            <w:r>
              <w:rPr>
                <w:rFonts w:hint="eastAsia"/>
                <w:color w:val="auto"/>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auto"/>
                <w:highlight w:val="none"/>
              </w:rPr>
            </w:pPr>
            <w:r>
              <w:rPr>
                <w:rFonts w:hint="eastAsia" w:ascii="宋体"/>
                <w:bCs/>
                <w:color w:val="auto"/>
                <w:highlight w:val="none"/>
              </w:rPr>
              <w:t>每一密封封</w:t>
            </w:r>
            <w:r>
              <w:rPr>
                <w:rFonts w:hint="eastAsia" w:ascii="宋体"/>
                <w:bCs/>
                <w:color w:val="auto"/>
                <w:highlight w:val="none"/>
                <w:lang w:val="en-US" w:eastAsia="zh-CN"/>
              </w:rPr>
              <w:t>装</w:t>
            </w:r>
            <w:r>
              <w:rPr>
                <w:rFonts w:hint="eastAsia" w:ascii="宋体"/>
                <w:bCs/>
                <w:color w:val="auto"/>
                <w:highlight w:val="none"/>
              </w:rPr>
              <w:t>上均注明“于</w:t>
            </w:r>
            <w:r>
              <w:rPr>
                <w:rFonts w:hint="eastAsia" w:ascii="宋体"/>
                <w:bCs/>
                <w:color w:val="auto"/>
                <w:highlight w:val="none"/>
                <w:u w:val="single"/>
              </w:rPr>
              <w:t xml:space="preserve">     （投标截止时间）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auto"/>
                <w:highlight w:val="none"/>
              </w:rPr>
            </w:pPr>
            <w:r>
              <w:rPr>
                <w:rFonts w:hint="eastAsia" w:ascii="宋体"/>
                <w:bCs/>
                <w:color w:val="auto"/>
                <w:highlight w:val="none"/>
              </w:rPr>
              <w:t>投标人未按上述规定对投标文件进行密封和加写标记，</w:t>
            </w:r>
            <w:r>
              <w:rPr>
                <w:rFonts w:hint="eastAsia" w:ascii="宋体" w:hAnsi="宋体"/>
                <w:color w:val="auto"/>
                <w:highlight w:val="none"/>
              </w:rPr>
              <w:t>代理采购机构有权予以拒收，并退回给投标人。电报、电话、传真</w:t>
            </w:r>
            <w:r>
              <w:rPr>
                <w:rFonts w:hint="eastAsia" w:ascii="宋体"/>
                <w:bCs/>
                <w:color w:val="auto"/>
                <w:highlight w:val="none"/>
              </w:rPr>
              <w:t>等非纸质形式</w:t>
            </w:r>
            <w:r>
              <w:rPr>
                <w:rFonts w:hint="eastAsia" w:ascii="宋体" w:hAnsi="宋体"/>
                <w:color w:val="auto"/>
                <w:highlight w:val="none"/>
              </w:rPr>
              <w:t>的投标概不接受</w:t>
            </w:r>
            <w:r>
              <w:rPr>
                <w:rFonts w:hint="eastAsia" w:ascii="宋体"/>
                <w:bCs/>
                <w:color w:val="auto"/>
                <w:highlight w:val="none"/>
              </w:rPr>
              <w:t>。</w:t>
            </w:r>
            <w:r>
              <w:rPr>
                <w:b/>
                <w:bCs/>
                <w:color w:val="auto"/>
                <w:szCs w:val="21"/>
                <w:highlight w:val="none"/>
              </w:rPr>
              <w:t>所有投标文件密封袋的封口处应加盖投标人</w:t>
            </w:r>
            <w:r>
              <w:rPr>
                <w:rFonts w:hint="eastAsia"/>
                <w:b/>
                <w:bCs/>
                <w:color w:val="auto"/>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auto"/>
                <w:szCs w:val="21"/>
                <w:highlight w:val="none"/>
              </w:rPr>
            </w:pPr>
            <w:r>
              <w:rPr>
                <w:rFonts w:hint="eastAsia" w:ascii="宋体" w:hAnsi="宋体"/>
                <w:b/>
                <w:color w:val="auto"/>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auto"/>
                <w:szCs w:val="21"/>
                <w:highlight w:val="none"/>
              </w:rPr>
            </w:pPr>
            <w:r>
              <w:rPr>
                <w:rFonts w:hint="eastAsia" w:ascii="宋体" w:hAnsi="宋体"/>
                <w:color w:val="auto"/>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auto"/>
                <w:sz w:val="21"/>
                <w:szCs w:val="21"/>
                <w:highlight w:val="none"/>
              </w:rPr>
            </w:pPr>
            <w:r>
              <w:rPr>
                <w:rFonts w:hint="eastAsia"/>
                <w:b/>
                <w:color w:val="auto"/>
                <w:sz w:val="21"/>
                <w:szCs w:val="21"/>
                <w:highlight w:val="none"/>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auto"/>
                <w:highlight w:val="none"/>
              </w:rPr>
            </w:pPr>
            <w:r>
              <w:rPr>
                <w:rFonts w:hint="eastAsia"/>
                <w:b/>
                <w:color w:val="auto"/>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auto"/>
                <w:szCs w:val="21"/>
                <w:highlight w:val="none"/>
              </w:rPr>
            </w:pPr>
            <w:r>
              <w:rPr>
                <w:rFonts w:ascii="宋体" w:hAnsi="宋体"/>
                <w:b/>
                <w:color w:val="auto"/>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auto"/>
                <w:szCs w:val="21"/>
                <w:highlight w:val="none"/>
              </w:rPr>
            </w:pPr>
            <w:r>
              <w:rPr>
                <w:rFonts w:hint="eastAsia" w:ascii="宋体" w:hAnsi="宋体"/>
                <w:color w:val="auto"/>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auto"/>
                <w:szCs w:val="21"/>
                <w:highlight w:val="none"/>
              </w:rPr>
            </w:pPr>
            <w:r>
              <w:rPr>
                <w:rFonts w:hint="eastAsia" w:ascii="宋体" w:hAnsi="宋体"/>
                <w:color w:val="auto"/>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highlight w:val="none"/>
              </w:rPr>
            </w:pPr>
            <w:r>
              <w:rPr>
                <w:rFonts w:ascii="宋体" w:hAnsi="宋体"/>
                <w:color w:val="auto"/>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auto"/>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auto"/>
                <w:szCs w:val="21"/>
                <w:highlight w:val="none"/>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auto"/>
                <w:szCs w:val="21"/>
                <w:highlight w:val="none"/>
              </w:rPr>
            </w:pPr>
            <w:r>
              <w:rPr>
                <w:color w:val="auto"/>
                <w:highlight w:val="none"/>
              </w:rPr>
              <w:fldChar w:fldCharType="begin"/>
            </w:r>
            <w:r>
              <w:rPr>
                <w:color w:val="auto"/>
                <w:highlight w:val="none"/>
              </w:rPr>
              <w:instrText xml:space="preserve"> HYPERLINK "http://www.gdgpo.gov.cn" </w:instrText>
            </w:r>
            <w:r>
              <w:rPr>
                <w:color w:val="auto"/>
                <w:highlight w:val="none"/>
              </w:rPr>
              <w:fldChar w:fldCharType="separate"/>
            </w:r>
            <w:r>
              <w:rPr>
                <w:rFonts w:ascii="宋体" w:hAnsi="宋体"/>
                <w:color w:val="auto"/>
                <w:szCs w:val="21"/>
                <w:highlight w:val="none"/>
              </w:rPr>
              <w:t>http://www.gdgpo.</w:t>
            </w:r>
            <w:r>
              <w:rPr>
                <w:rFonts w:hint="eastAsia" w:ascii="宋体" w:hAnsi="宋体"/>
                <w:color w:val="auto"/>
                <w:szCs w:val="21"/>
                <w:highlight w:val="none"/>
                <w:lang w:val="en-US" w:eastAsia="zh-CN"/>
              </w:rPr>
              <w:t>com.</w:t>
            </w:r>
            <w:r>
              <w:rPr>
                <w:rFonts w:ascii="宋体" w:hAnsi="宋体"/>
                <w:color w:val="auto"/>
                <w:szCs w:val="21"/>
                <w:highlight w:val="none"/>
              </w:rPr>
              <w:t>cn</w:t>
            </w:r>
            <w:r>
              <w:rPr>
                <w:rFonts w:ascii="宋体" w:hAnsi="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auto"/>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auto"/>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auto"/>
                <w:szCs w:val="21"/>
                <w:highlight w:val="none"/>
              </w:rPr>
            </w:pPr>
            <w:r>
              <w:rPr>
                <w:rFonts w:hint="eastAsia" w:ascii="宋体" w:hAnsi="宋体"/>
                <w:color w:val="auto"/>
                <w:szCs w:val="21"/>
                <w:highlight w:val="none"/>
              </w:rPr>
              <w:t>http://www.yjcg.cc</w:t>
            </w:r>
          </w:p>
        </w:tc>
      </w:tr>
    </w:tbl>
    <w:p>
      <w:pPr>
        <w:pStyle w:val="5"/>
        <w:ind w:left="0" w:leftChars="0" w:firstLine="0" w:firstLineChars="0"/>
        <w:rPr>
          <w:rFonts w:hint="eastAsia"/>
          <w:color w:val="auto"/>
          <w:szCs w:val="21"/>
          <w:highlight w:val="none"/>
        </w:rPr>
      </w:pPr>
    </w:p>
    <w:p>
      <w:pPr>
        <w:pStyle w:val="5"/>
        <w:ind w:left="0" w:leftChars="0" w:firstLine="0" w:firstLineChars="0"/>
        <w:rPr>
          <w:rFonts w:hint="eastAsia"/>
          <w:color w:val="auto"/>
          <w:szCs w:val="21"/>
          <w:highlight w:val="none"/>
        </w:rPr>
      </w:pPr>
    </w:p>
    <w:p>
      <w:pPr>
        <w:pStyle w:val="4"/>
        <w:numPr>
          <w:ilvl w:val="0"/>
          <w:numId w:val="0"/>
        </w:numPr>
        <w:rPr>
          <w:color w:val="auto"/>
          <w:sz w:val="24"/>
          <w:highlight w:val="none"/>
        </w:rPr>
      </w:pPr>
      <w:bookmarkStart w:id="119" w:name="_Hlt21938668"/>
      <w:bookmarkEnd w:id="119"/>
      <w:bookmarkStart w:id="120" w:name="_Hlt21938665"/>
      <w:bookmarkEnd w:id="120"/>
      <w:bookmarkStart w:id="121" w:name="_Toc341348306"/>
      <w:bookmarkStart w:id="122" w:name="_Toc339362268"/>
      <w:bookmarkStart w:id="123" w:name="_Toc349143557"/>
      <w:bookmarkStart w:id="124" w:name="_Toc342060342"/>
      <w:bookmarkStart w:id="125" w:name="_Toc342296728"/>
      <w:bookmarkStart w:id="126" w:name="_Toc331684006"/>
      <w:bookmarkStart w:id="127" w:name="_Toc339019857"/>
      <w:bookmarkStart w:id="128" w:name="_Toc333237645"/>
      <w:bookmarkStart w:id="129" w:name="_Toc497224194"/>
      <w:bookmarkStart w:id="130" w:name="_Toc340507410"/>
      <w:bookmarkStart w:id="131" w:name="_Toc336681903"/>
      <w:bookmarkStart w:id="132" w:name="_Toc339020201"/>
      <w:bookmarkStart w:id="133" w:name="_Toc332270314"/>
      <w:bookmarkStart w:id="134" w:name="_Toc332206676"/>
      <w:bookmarkStart w:id="135" w:name="_Toc336681548"/>
      <w:bookmarkStart w:id="136" w:name="_Toc365967041"/>
      <w:bookmarkStart w:id="137" w:name="_Toc339441055"/>
      <w:bookmarkStart w:id="138" w:name="_Toc337632326"/>
      <w:bookmarkStart w:id="139" w:name="_Toc339019983"/>
      <w:bookmarkStart w:id="140" w:name="_Toc330459953"/>
      <w:bookmarkStart w:id="141" w:name="_Toc333935314"/>
      <w:bookmarkStart w:id="142" w:name="_Toc333238601"/>
      <w:bookmarkStart w:id="143" w:name="_Toc333935655"/>
      <w:bookmarkStart w:id="144" w:name="_Toc340677038"/>
      <w:bookmarkStart w:id="145" w:name="_Toc503785396"/>
      <w:bookmarkStart w:id="146" w:name="_Toc333237756"/>
      <w:bookmarkStart w:id="147" w:name="_Toc339020063"/>
      <w:bookmarkStart w:id="148" w:name="_Toc365985147"/>
      <w:bookmarkStart w:id="149" w:name="_Toc350438717"/>
      <w:bookmarkStart w:id="150" w:name="_Toc366072496"/>
      <w:bookmarkStart w:id="151" w:name="_Toc345513835"/>
      <w:bookmarkStart w:id="152" w:name="_Toc350756418"/>
      <w:bookmarkStart w:id="153" w:name="_Toc349127594"/>
      <w:bookmarkStart w:id="154" w:name="_Toc331512866"/>
      <w:bookmarkStart w:id="155" w:name="_Toc340672837"/>
      <w:bookmarkStart w:id="156" w:name="_Toc17683"/>
      <w:r>
        <w:rPr>
          <w:rFonts w:hint="eastAsia"/>
          <w:color w:val="auto"/>
          <w:sz w:val="24"/>
          <w:highlight w:val="none"/>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6"/>
        <w:numPr>
          <w:ilvl w:val="4"/>
          <w:numId w:val="24"/>
        </w:numPr>
        <w:tabs>
          <w:tab w:val="left" w:pos="720"/>
        </w:tabs>
        <w:spacing w:before="240" w:after="120"/>
        <w:ind w:left="2432" w:hanging="2432"/>
        <w:rPr>
          <w:color w:val="auto"/>
          <w:highlight w:val="none"/>
        </w:rPr>
      </w:pPr>
      <w:bookmarkStart w:id="157" w:name="_Toc503785397"/>
      <w:bookmarkStart w:id="158" w:name="_Toc497224195"/>
      <w:bookmarkStart w:id="159" w:name="_Toc336681904"/>
      <w:bookmarkStart w:id="160" w:name="_Toc366072497"/>
      <w:bookmarkStart w:id="161" w:name="_Toc332270315"/>
      <w:bookmarkStart w:id="162" w:name="_Toc350438718"/>
      <w:bookmarkStart w:id="163" w:name="_Toc365985148"/>
      <w:bookmarkStart w:id="164" w:name="_Toc365967042"/>
      <w:bookmarkStart w:id="165" w:name="_Toc333237757"/>
      <w:bookmarkStart w:id="166" w:name="_Toc342296729"/>
      <w:bookmarkStart w:id="167" w:name="_Toc341348307"/>
      <w:bookmarkStart w:id="168" w:name="_Toc349143558"/>
      <w:bookmarkStart w:id="169" w:name="_Toc340672838"/>
      <w:bookmarkStart w:id="170" w:name="_Toc345513836"/>
      <w:bookmarkStart w:id="171" w:name="_Toc332206677"/>
      <w:bookmarkStart w:id="172" w:name="_Toc350756419"/>
      <w:bookmarkStart w:id="173" w:name="_Toc331512867"/>
      <w:bookmarkStart w:id="174" w:name="_Toc336681549"/>
      <w:bookmarkStart w:id="175" w:name="_Toc337632327"/>
      <w:bookmarkStart w:id="176" w:name="_Toc340677039"/>
      <w:bookmarkStart w:id="177" w:name="_Toc333238602"/>
      <w:bookmarkStart w:id="178" w:name="_Toc339019858"/>
      <w:bookmarkStart w:id="179" w:name="_Toc330459954"/>
      <w:bookmarkStart w:id="180" w:name="_Toc342060343"/>
      <w:bookmarkStart w:id="181" w:name="_Toc340507411"/>
      <w:bookmarkStart w:id="182" w:name="_Toc339441056"/>
      <w:bookmarkStart w:id="183" w:name="_Toc339362269"/>
      <w:bookmarkStart w:id="184" w:name="_Toc339019984"/>
      <w:bookmarkStart w:id="185" w:name="_Toc333935315"/>
      <w:bookmarkStart w:id="186" w:name="_Toc333935656"/>
      <w:bookmarkStart w:id="187" w:name="_Toc349127595"/>
      <w:bookmarkStart w:id="188" w:name="_Toc339020202"/>
      <w:bookmarkStart w:id="189" w:name="_Toc333237646"/>
      <w:bookmarkStart w:id="190" w:name="_Toc339020064"/>
      <w:bookmarkStart w:id="191" w:name="_Toc331684007"/>
      <w:bookmarkStart w:id="192" w:name="_Toc21505"/>
      <w:r>
        <w:rPr>
          <w:rFonts w:hint="eastAsia"/>
          <w:color w:val="auto"/>
          <w:highlight w:val="none"/>
        </w:rPr>
        <w:t>适用范围</w:t>
      </w:r>
      <w:bookmarkEnd w:id="157"/>
      <w:bookmarkEnd w:id="158"/>
      <w:r>
        <w:rPr>
          <w:rFonts w:hint="eastAsia"/>
          <w:color w:val="auto"/>
          <w:highlight w:val="none"/>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bookmarkStart w:id="193" w:name="_Toc339019985"/>
      <w:bookmarkStart w:id="194" w:name="_Toc333935316"/>
      <w:bookmarkStart w:id="195" w:name="_Toc497224196"/>
      <w:bookmarkStart w:id="196" w:name="_Toc349127596"/>
      <w:bookmarkStart w:id="197" w:name="_Toc339362270"/>
      <w:bookmarkStart w:id="198" w:name="_Toc337632328"/>
      <w:bookmarkStart w:id="199" w:name="_Toc339020203"/>
      <w:bookmarkStart w:id="200" w:name="_Toc365967043"/>
      <w:bookmarkStart w:id="201" w:name="_Toc331684008"/>
      <w:bookmarkStart w:id="202" w:name="_Toc333237647"/>
      <w:bookmarkStart w:id="203" w:name="_Toc339020065"/>
      <w:bookmarkStart w:id="204" w:name="_Toc341348308"/>
      <w:bookmarkStart w:id="205" w:name="_Toc336681905"/>
      <w:bookmarkStart w:id="206" w:name="_Toc350756420"/>
      <w:bookmarkStart w:id="207" w:name="_Toc330459955"/>
      <w:bookmarkStart w:id="208" w:name="_Toc365985149"/>
      <w:bookmarkStart w:id="209" w:name="_Toc340677040"/>
      <w:bookmarkStart w:id="210" w:name="_Toc345513837"/>
      <w:bookmarkStart w:id="211" w:name="_Toc340672839"/>
      <w:bookmarkStart w:id="212" w:name="_Toc342296730"/>
      <w:bookmarkStart w:id="213" w:name="_Toc350438719"/>
      <w:bookmarkStart w:id="214" w:name="_Toc366072498"/>
      <w:bookmarkStart w:id="215" w:name="_Toc339441057"/>
      <w:bookmarkStart w:id="216" w:name="_Toc331512868"/>
      <w:bookmarkStart w:id="217" w:name="_Toc374454571"/>
      <w:bookmarkStart w:id="218" w:name="_Toc339019859"/>
      <w:bookmarkStart w:id="219" w:name="_Toc342060344"/>
      <w:bookmarkStart w:id="220" w:name="_Toc336681550"/>
      <w:bookmarkStart w:id="221" w:name="_Toc332270316"/>
      <w:bookmarkStart w:id="222" w:name="_Toc349143559"/>
      <w:bookmarkStart w:id="223" w:name="_Toc340507412"/>
      <w:bookmarkStart w:id="224" w:name="_Toc332206678"/>
      <w:bookmarkStart w:id="225" w:name="_Toc333238603"/>
      <w:bookmarkStart w:id="226" w:name="_Toc333237758"/>
      <w:bookmarkStart w:id="227" w:name="_Toc503785398"/>
      <w:bookmarkStart w:id="228" w:name="_Toc333935657"/>
      <w:r>
        <w:rPr>
          <w:rFonts w:hint="eastAsia" w:ascii="宋体"/>
          <w:bCs/>
          <w:color w:val="auto"/>
          <w:highlight w:val="none"/>
        </w:rPr>
        <w:t>1</w:t>
      </w:r>
      <w:r>
        <w:rPr>
          <w:rFonts w:ascii="宋体"/>
          <w:bCs/>
          <w:color w:val="auto"/>
          <w:highlight w:val="none"/>
        </w:rPr>
        <w:t>.1</w:t>
      </w:r>
      <w:r>
        <w:rPr>
          <w:rFonts w:hint="eastAsia" w:ascii="宋体"/>
          <w:bCs/>
          <w:color w:val="auto"/>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3    本招标文件由代理采购机构负责解释。</w:t>
      </w:r>
    </w:p>
    <w:p>
      <w:pPr>
        <w:pStyle w:val="6"/>
        <w:numPr>
          <w:ilvl w:val="4"/>
          <w:numId w:val="24"/>
        </w:numPr>
        <w:tabs>
          <w:tab w:val="left" w:pos="720"/>
        </w:tabs>
        <w:spacing w:before="240" w:after="120"/>
        <w:ind w:left="2432" w:hanging="2432"/>
        <w:rPr>
          <w:color w:val="auto"/>
          <w:highlight w:val="none"/>
        </w:rPr>
      </w:pPr>
      <w:bookmarkStart w:id="229" w:name="_Toc27829"/>
      <w:r>
        <w:rPr>
          <w:rFonts w:hint="eastAsia"/>
          <w:color w:val="auto"/>
          <w:highlight w:val="none"/>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2.1</w:t>
      </w:r>
      <w:r>
        <w:rPr>
          <w:rFonts w:ascii="宋体"/>
          <w:bCs/>
          <w:color w:val="auto"/>
          <w:highlight w:val="none"/>
        </w:rPr>
        <w:tab/>
      </w:r>
      <w:r>
        <w:rPr>
          <w:rFonts w:hint="eastAsia" w:ascii="宋体"/>
          <w:bCs/>
          <w:color w:val="auto"/>
          <w:highlight w:val="none"/>
        </w:rPr>
        <w:t>“代理采购机构”系指组织本次招标的</w:t>
      </w:r>
      <w:r>
        <w:rPr>
          <w:rFonts w:hint="eastAsia" w:ascii="宋体"/>
          <w:bCs/>
          <w:color w:val="auto"/>
          <w:highlight w:val="none"/>
          <w:lang w:eastAsia="zh-CN"/>
        </w:rPr>
        <w:t>广东业信招标有限公司</w:t>
      </w:r>
      <w:r>
        <w:rPr>
          <w:rFonts w:hint="eastAsia" w:ascii="宋体"/>
          <w:bCs/>
          <w:color w:val="auto"/>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bCs/>
          <w:color w:val="auto"/>
          <w:highlight w:val="none"/>
        </w:rPr>
        <w:t>2</w:t>
      </w:r>
      <w:r>
        <w:rPr>
          <w:rFonts w:ascii="宋体"/>
          <w:bCs/>
          <w:color w:val="auto"/>
          <w:highlight w:val="none"/>
        </w:rPr>
        <w:t>.2</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“投标人”系指</w:t>
      </w:r>
      <w:r>
        <w:rPr>
          <w:rFonts w:hint="eastAsia" w:ascii="宋体" w:hAnsi="宋体"/>
          <w:bCs/>
          <w:color w:val="auto"/>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auto"/>
          <w:highlight w:val="none"/>
        </w:rPr>
      </w:pPr>
      <w:r>
        <w:rPr>
          <w:rFonts w:hint="eastAsia" w:ascii="宋体"/>
          <w:bCs/>
          <w:color w:val="auto"/>
          <w:highlight w:val="none"/>
        </w:rPr>
        <w:t>2.3</w:t>
      </w:r>
      <w:r>
        <w:rPr>
          <w:rFonts w:hint="eastAsia" w:ascii="宋体"/>
          <w:bCs/>
          <w:color w:val="auto"/>
          <w:highlight w:val="none"/>
        </w:rPr>
        <w:tab/>
      </w:r>
      <w:r>
        <w:rPr>
          <w:rFonts w:hint="eastAsia" w:ascii="宋体"/>
          <w:bCs/>
          <w:color w:val="auto"/>
          <w:highlight w:val="none"/>
        </w:rPr>
        <w:t>“采购人”系指</w:t>
      </w:r>
      <w:r>
        <w:rPr>
          <w:rFonts w:hint="eastAsia" w:ascii="宋体"/>
          <w:bCs/>
          <w:color w:val="auto"/>
          <w:highlight w:val="none"/>
          <w:lang w:eastAsia="zh-CN"/>
        </w:rPr>
        <w:t>阳江市海陵岛经济开发试验区房管中心</w:t>
      </w:r>
      <w:r>
        <w:rPr>
          <w:rFonts w:hint="eastAsia" w:ascii="宋体"/>
          <w:bCs/>
          <w:color w:val="auto"/>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bCs/>
          <w:color w:val="auto"/>
          <w:highlight w:val="none"/>
        </w:rPr>
        <w:t>2.4</w:t>
      </w:r>
      <w:r>
        <w:rPr>
          <w:rFonts w:hint="eastAsia" w:ascii="宋体"/>
          <w:bCs/>
          <w:color w:val="auto"/>
          <w:highlight w:val="none"/>
        </w:rPr>
        <w:tab/>
      </w:r>
      <w:r>
        <w:rPr>
          <w:rFonts w:hint="eastAsia" w:ascii="宋体"/>
          <w:bCs/>
          <w:color w:val="auto"/>
          <w:highlight w:val="none"/>
        </w:rPr>
        <w:t xml:space="preserve"> </w:t>
      </w:r>
      <w:r>
        <w:rPr>
          <w:rFonts w:ascii="宋体" w:hAnsi="宋体"/>
          <w:bCs/>
          <w:color w:val="auto"/>
          <w:highlight w:val="none"/>
        </w:rPr>
        <w:t>“</w:t>
      </w:r>
      <w:r>
        <w:rPr>
          <w:rFonts w:hint="eastAsia" w:ascii="宋体" w:hAnsi="宋体"/>
          <w:bCs/>
          <w:color w:val="auto"/>
          <w:highlight w:val="none"/>
        </w:rPr>
        <w:t>货物</w:t>
      </w:r>
      <w:r>
        <w:rPr>
          <w:rFonts w:ascii="宋体" w:hAnsi="宋体"/>
          <w:bCs/>
          <w:color w:val="auto"/>
          <w:highlight w:val="none"/>
        </w:rPr>
        <w:t>”</w:t>
      </w:r>
      <w:r>
        <w:rPr>
          <w:rFonts w:hint="eastAsia" w:ascii="宋体" w:hAnsi="宋体"/>
          <w:bCs/>
          <w:color w:val="auto"/>
          <w:highlight w:val="none"/>
        </w:rPr>
        <w:t>系指投标人根据招标文件规定，须向采购人提供的设备、材料、备品备件、工具、使用手册、软件及有关技术资料等。</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“日”系指日历天。</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“工作日”系指国家规定除法定节假日以外的以日</w:t>
      </w:r>
      <w:r>
        <w:rPr>
          <w:rFonts w:ascii="宋体" w:hAnsi="宋体"/>
          <w:bCs/>
          <w:color w:val="auto"/>
          <w:highlight w:val="none"/>
        </w:rPr>
        <w:t>为计算单位的工作时间</w:t>
      </w:r>
      <w:r>
        <w:rPr>
          <w:rFonts w:hint="eastAsia" w:ascii="宋体" w:hAnsi="宋体"/>
          <w:bCs/>
          <w:color w:val="auto"/>
          <w:highlight w:val="none"/>
        </w:rPr>
        <w:t>。</w:t>
      </w:r>
    </w:p>
    <w:p>
      <w:pPr>
        <w:pStyle w:val="6"/>
        <w:numPr>
          <w:ilvl w:val="4"/>
          <w:numId w:val="24"/>
        </w:numPr>
        <w:tabs>
          <w:tab w:val="left" w:pos="720"/>
        </w:tabs>
        <w:spacing w:before="240" w:after="120"/>
        <w:ind w:left="2432" w:hanging="2432"/>
        <w:rPr>
          <w:color w:val="auto"/>
          <w:highlight w:val="none"/>
        </w:rPr>
      </w:pPr>
      <w:bookmarkStart w:id="230" w:name="_Toc503785399"/>
      <w:bookmarkStart w:id="231" w:name="_Toc497224197"/>
      <w:bookmarkStart w:id="232" w:name="_Toc332270317"/>
      <w:bookmarkStart w:id="233" w:name="_Toc339019860"/>
      <w:bookmarkStart w:id="234" w:name="_Toc365985150"/>
      <w:bookmarkStart w:id="235" w:name="_Toc349143560"/>
      <w:bookmarkStart w:id="236" w:name="_Toc333237648"/>
      <w:bookmarkStart w:id="237" w:name="_Toc333238604"/>
      <w:bookmarkStart w:id="238" w:name="_Toc349127597"/>
      <w:bookmarkStart w:id="239" w:name="_Toc350438720"/>
      <w:bookmarkStart w:id="240" w:name="_Toc330459956"/>
      <w:bookmarkStart w:id="241" w:name="_Toc333935658"/>
      <w:bookmarkStart w:id="242" w:name="_Toc337632329"/>
      <w:bookmarkStart w:id="243" w:name="_Toc342296731"/>
      <w:bookmarkStart w:id="244" w:name="_Toc333935317"/>
      <w:bookmarkStart w:id="245" w:name="_Toc339441058"/>
      <w:bookmarkStart w:id="246" w:name="_Toc365967044"/>
      <w:bookmarkStart w:id="247" w:name="_Toc331684009"/>
      <w:bookmarkStart w:id="248" w:name="_Toc336681906"/>
      <w:bookmarkStart w:id="249" w:name="_Toc340672840"/>
      <w:bookmarkStart w:id="250" w:name="_Toc333237759"/>
      <w:bookmarkStart w:id="251" w:name="_Toc332206679"/>
      <w:bookmarkStart w:id="252" w:name="_Toc340507413"/>
      <w:bookmarkStart w:id="253" w:name="_Toc366072499"/>
      <w:bookmarkStart w:id="254" w:name="_Toc374454572"/>
      <w:bookmarkStart w:id="255" w:name="_Toc331512869"/>
      <w:bookmarkStart w:id="256" w:name="_Toc345513838"/>
      <w:bookmarkStart w:id="257" w:name="_Toc340677041"/>
      <w:bookmarkStart w:id="258" w:name="_Toc339019986"/>
      <w:bookmarkStart w:id="259" w:name="_Toc350756421"/>
      <w:bookmarkStart w:id="260" w:name="_Toc339362271"/>
      <w:bookmarkStart w:id="261" w:name="_Toc339020066"/>
      <w:bookmarkStart w:id="262" w:name="_Toc339020204"/>
      <w:bookmarkStart w:id="263" w:name="_Toc342060345"/>
      <w:bookmarkStart w:id="264" w:name="_Toc336681551"/>
      <w:bookmarkStart w:id="265" w:name="_Toc341348309"/>
      <w:bookmarkStart w:id="266" w:name="_Toc28364"/>
      <w:r>
        <w:rPr>
          <w:rFonts w:hint="eastAsia"/>
          <w:color w:val="auto"/>
          <w:highlight w:val="none"/>
        </w:rPr>
        <w:t>合格的</w:t>
      </w:r>
      <w:bookmarkEnd w:id="230"/>
      <w:bookmarkEnd w:id="231"/>
      <w:r>
        <w:rPr>
          <w:rFonts w:hint="eastAsia"/>
          <w:color w:val="auto"/>
          <w:highlight w:val="none"/>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3.1</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 xml:space="preserve"> </w:t>
      </w:r>
      <w:r>
        <w:rPr>
          <w:rFonts w:hint="eastAsia" w:ascii="宋体" w:hAnsi="宋体"/>
          <w:bCs/>
          <w:color w:val="auto"/>
          <w:highlight w:val="none"/>
        </w:rPr>
        <w:t>国内有能力提供采购项目相关的工程、货物和服务且符合本项目合格投标人资格条件的投标人</w:t>
      </w:r>
      <w:r>
        <w:rPr>
          <w:rFonts w:hint="eastAsia" w:ascii="宋体"/>
          <w:bCs/>
          <w:color w:val="auto"/>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3.2</w:t>
      </w:r>
      <w:r>
        <w:rPr>
          <w:rFonts w:ascii="宋体"/>
          <w:bCs/>
          <w:color w:val="auto"/>
          <w:highlight w:val="none"/>
        </w:rPr>
        <w:tab/>
      </w:r>
      <w:r>
        <w:rPr>
          <w:rFonts w:hint="eastAsia" w:ascii="宋体"/>
          <w:bCs/>
          <w:color w:val="auto"/>
          <w:highlight w:val="none"/>
        </w:rPr>
        <w:tab/>
      </w:r>
      <w:r>
        <w:rPr>
          <w:rFonts w:hint="eastAsia" w:ascii="宋体"/>
          <w:bCs/>
          <w:color w:val="auto"/>
          <w:highlight w:val="none"/>
        </w:rPr>
        <w:t xml:space="preserve"> </w:t>
      </w:r>
      <w:r>
        <w:rPr>
          <w:rFonts w:hint="eastAsia" w:ascii="宋体" w:hAnsi="宋体"/>
          <w:bCs/>
          <w:color w:val="auto"/>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szCs w:val="21"/>
          <w:highlight w:val="none"/>
        </w:rPr>
        <w:t xml:space="preserve">3.6    </w:t>
      </w:r>
      <w:r>
        <w:rPr>
          <w:bCs/>
          <w:color w:val="auto"/>
          <w:szCs w:val="21"/>
          <w:highlight w:val="none"/>
        </w:rPr>
        <w:t>专门面向中小微企业采购的项目，只能由中小企业或微型企业参加。</w:t>
      </w:r>
    </w:p>
    <w:p>
      <w:pPr>
        <w:pStyle w:val="6"/>
        <w:numPr>
          <w:ilvl w:val="4"/>
          <w:numId w:val="24"/>
        </w:numPr>
        <w:tabs>
          <w:tab w:val="left" w:pos="720"/>
        </w:tabs>
        <w:spacing w:before="240" w:after="120"/>
        <w:ind w:left="2432" w:hanging="2432"/>
        <w:rPr>
          <w:color w:val="auto"/>
          <w:highlight w:val="none"/>
        </w:rPr>
      </w:pPr>
      <w:bookmarkStart w:id="267" w:name="_Toc341348310"/>
      <w:bookmarkStart w:id="268" w:name="_Toc337632330"/>
      <w:bookmarkStart w:id="269" w:name="_Toc331684010"/>
      <w:bookmarkStart w:id="270" w:name="_Toc336681552"/>
      <w:bookmarkStart w:id="271" w:name="_Toc339019861"/>
      <w:bookmarkStart w:id="272" w:name="_Toc342296732"/>
      <w:bookmarkStart w:id="273" w:name="_Toc339019987"/>
      <w:bookmarkStart w:id="274" w:name="_Toc332270318"/>
      <w:bookmarkStart w:id="275" w:name="_Toc497224198"/>
      <w:bookmarkStart w:id="276" w:name="_Toc333237760"/>
      <w:bookmarkStart w:id="277" w:name="_Toc340507414"/>
      <w:bookmarkStart w:id="278" w:name="_Toc374454573"/>
      <w:bookmarkStart w:id="279" w:name="_Toc503785400"/>
      <w:bookmarkStart w:id="280" w:name="_Toc366072500"/>
      <w:bookmarkStart w:id="281" w:name="_Toc339020067"/>
      <w:bookmarkStart w:id="282" w:name="_Toc336681907"/>
      <w:bookmarkStart w:id="283" w:name="_Toc340677042"/>
      <w:bookmarkStart w:id="284" w:name="_Toc331512870"/>
      <w:bookmarkStart w:id="285" w:name="_Toc333237649"/>
      <w:bookmarkStart w:id="286" w:name="_Toc339020205"/>
      <w:bookmarkStart w:id="287" w:name="_Toc339362272"/>
      <w:bookmarkStart w:id="288" w:name="_Toc330459957"/>
      <w:bookmarkStart w:id="289" w:name="_Toc333238605"/>
      <w:bookmarkStart w:id="290" w:name="_Toc345513839"/>
      <w:bookmarkStart w:id="291" w:name="_Toc333935318"/>
      <w:bookmarkStart w:id="292" w:name="_Toc342060346"/>
      <w:bookmarkStart w:id="293" w:name="_Toc333935659"/>
      <w:bookmarkStart w:id="294" w:name="_Toc332206680"/>
      <w:bookmarkStart w:id="295" w:name="_Toc339441059"/>
      <w:bookmarkStart w:id="296" w:name="_Toc365985151"/>
      <w:bookmarkStart w:id="297" w:name="_Toc365967045"/>
      <w:bookmarkStart w:id="298" w:name="_Toc350438721"/>
      <w:bookmarkStart w:id="299" w:name="_Toc340672841"/>
      <w:bookmarkStart w:id="300" w:name="_Toc350756422"/>
      <w:bookmarkStart w:id="301" w:name="_Toc349127598"/>
      <w:bookmarkStart w:id="302" w:name="_Toc349143561"/>
      <w:bookmarkStart w:id="303" w:name="_Toc28130"/>
      <w:r>
        <w:rPr>
          <w:rFonts w:hint="eastAsia"/>
          <w:color w:val="auto"/>
          <w:highlight w:val="none"/>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4.1</w:t>
      </w:r>
      <w:r>
        <w:rPr>
          <w:rFonts w:hint="eastAsia" w:ascii="宋体"/>
          <w:bCs/>
          <w:color w:val="auto"/>
          <w:highlight w:val="none"/>
        </w:rPr>
        <w:tab/>
      </w:r>
      <w:r>
        <w:rPr>
          <w:rFonts w:hint="eastAsia" w:hAnsi="宋体"/>
          <w:color w:val="auto"/>
          <w:highlight w:val="none"/>
        </w:rPr>
        <w:t>投标人应承担所有与准备和参加投标有关的费用。不论投标的结果如何，代理采购机构和采购人均无义务和责任承担这些费用</w:t>
      </w:r>
      <w:r>
        <w:rPr>
          <w:rFonts w:hint="eastAsia" w:ascii="宋体"/>
          <w:bCs/>
          <w:color w:val="auto"/>
          <w:highlight w:val="none"/>
        </w:rPr>
        <w:t>。</w:t>
      </w:r>
      <w:bookmarkStart w:id="304" w:name="_Toc340672842"/>
      <w:bookmarkStart w:id="305" w:name="_Toc365985152"/>
      <w:bookmarkStart w:id="306" w:name="_Toc339019988"/>
      <w:bookmarkStart w:id="307" w:name="_Toc340507415"/>
      <w:bookmarkStart w:id="308" w:name="_Toc336681908"/>
      <w:bookmarkStart w:id="309" w:name="_Toc333935319"/>
      <w:bookmarkStart w:id="310" w:name="_Toc331512871"/>
      <w:bookmarkStart w:id="311" w:name="_Toc366072501"/>
      <w:bookmarkStart w:id="312" w:name="_Toc503785401"/>
      <w:bookmarkStart w:id="313" w:name="_Toc341348311"/>
      <w:bookmarkStart w:id="314" w:name="_Toc342296733"/>
      <w:bookmarkStart w:id="315" w:name="_Toc332206681"/>
      <w:bookmarkStart w:id="316" w:name="_Toc339362273"/>
      <w:bookmarkStart w:id="317" w:name="_Toc350756423"/>
      <w:bookmarkStart w:id="318" w:name="_Toc374454574"/>
      <w:bookmarkStart w:id="319" w:name="_Toc331684011"/>
      <w:bookmarkStart w:id="320" w:name="_Toc339020206"/>
      <w:bookmarkStart w:id="321" w:name="_Toc350438722"/>
      <w:bookmarkStart w:id="322" w:name="_Toc345513840"/>
      <w:bookmarkStart w:id="323" w:name="_Toc333238606"/>
      <w:bookmarkStart w:id="324" w:name="_Toc336681553"/>
      <w:bookmarkStart w:id="325" w:name="_Toc342060347"/>
      <w:bookmarkStart w:id="326" w:name="_Toc333237761"/>
      <w:bookmarkStart w:id="327" w:name="_Toc340677043"/>
      <w:bookmarkStart w:id="328" w:name="_Toc330459958"/>
      <w:bookmarkStart w:id="329" w:name="_Toc333237650"/>
      <w:bookmarkStart w:id="330" w:name="_Toc339020068"/>
      <w:bookmarkStart w:id="331" w:name="_Toc339441060"/>
      <w:bookmarkStart w:id="332" w:name="_Toc333935660"/>
      <w:bookmarkStart w:id="333" w:name="_Toc332270319"/>
      <w:bookmarkStart w:id="334" w:name="_Toc339019862"/>
      <w:bookmarkStart w:id="335" w:name="_Toc349143562"/>
      <w:bookmarkStart w:id="336" w:name="_Toc337632331"/>
      <w:bookmarkStart w:id="337" w:name="_Toc349127599"/>
      <w:bookmarkStart w:id="338" w:name="_Toc497224199"/>
      <w:bookmarkStart w:id="339" w:name="_Toc365967046"/>
    </w:p>
    <w:p>
      <w:pPr>
        <w:pStyle w:val="4"/>
        <w:numPr>
          <w:ilvl w:val="0"/>
          <w:numId w:val="0"/>
        </w:numPr>
        <w:rPr>
          <w:color w:val="auto"/>
          <w:sz w:val="24"/>
          <w:highlight w:val="none"/>
        </w:rPr>
      </w:pPr>
      <w:bookmarkStart w:id="340" w:name="_Toc25281"/>
      <w:r>
        <w:rPr>
          <w:rFonts w:hint="eastAsia"/>
          <w:color w:val="auto"/>
          <w:sz w:val="24"/>
          <w:highlight w:val="none"/>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6"/>
        <w:numPr>
          <w:ilvl w:val="4"/>
          <w:numId w:val="24"/>
        </w:numPr>
        <w:tabs>
          <w:tab w:val="left" w:pos="720"/>
        </w:tabs>
        <w:spacing w:before="240" w:after="120"/>
        <w:ind w:left="2432" w:hanging="2432"/>
        <w:rPr>
          <w:color w:val="auto"/>
          <w:highlight w:val="none"/>
        </w:rPr>
      </w:pPr>
      <w:bookmarkStart w:id="341" w:name="_Toc339441061"/>
      <w:bookmarkStart w:id="342" w:name="_Toc349127600"/>
      <w:bookmarkStart w:id="343" w:name="_Toc365985153"/>
      <w:bookmarkStart w:id="344" w:name="_Toc340507416"/>
      <w:bookmarkStart w:id="345" w:name="_Toc333237651"/>
      <w:bookmarkStart w:id="346" w:name="_Toc340672843"/>
      <w:bookmarkStart w:id="347" w:name="_Toc331512872"/>
      <w:bookmarkStart w:id="348" w:name="_Toc503785402"/>
      <w:bookmarkStart w:id="349" w:name="_Toc339019863"/>
      <w:bookmarkStart w:id="350" w:name="_Toc374454575"/>
      <w:bookmarkStart w:id="351" w:name="_Toc333238607"/>
      <w:bookmarkStart w:id="352" w:name="_Toc365967047"/>
      <w:bookmarkStart w:id="353" w:name="_Toc333237762"/>
      <w:bookmarkStart w:id="354" w:name="_Toc339020207"/>
      <w:bookmarkStart w:id="355" w:name="_Toc340677044"/>
      <w:bookmarkStart w:id="356" w:name="_Toc332270320"/>
      <w:bookmarkStart w:id="357" w:name="_Toc350438723"/>
      <w:bookmarkStart w:id="358" w:name="_Toc350756424"/>
      <w:bookmarkStart w:id="359" w:name="_Toc341348312"/>
      <w:bookmarkStart w:id="360" w:name="_Toc336681554"/>
      <w:bookmarkStart w:id="361" w:name="_Toc339362274"/>
      <w:bookmarkStart w:id="362" w:name="_Toc349143563"/>
      <w:bookmarkStart w:id="363" w:name="_Toc342060348"/>
      <w:bookmarkStart w:id="364" w:name="_Toc333935661"/>
      <w:bookmarkStart w:id="365" w:name="_Toc332206682"/>
      <w:bookmarkStart w:id="366" w:name="_Toc331684012"/>
      <w:bookmarkStart w:id="367" w:name="_Toc339019989"/>
      <w:bookmarkStart w:id="368" w:name="_Toc337632332"/>
      <w:bookmarkStart w:id="369" w:name="_Toc330459959"/>
      <w:bookmarkStart w:id="370" w:name="_Toc497224200"/>
      <w:bookmarkStart w:id="371" w:name="_Toc336681909"/>
      <w:bookmarkStart w:id="372" w:name="_Toc339020069"/>
      <w:bookmarkStart w:id="373" w:name="_Toc345513841"/>
      <w:bookmarkStart w:id="374" w:name="_Toc342296734"/>
      <w:bookmarkStart w:id="375" w:name="_Toc366072502"/>
      <w:bookmarkStart w:id="376" w:name="_Toc333935320"/>
      <w:bookmarkStart w:id="377" w:name="_Toc26420"/>
      <w:r>
        <w:rPr>
          <w:rFonts w:hint="eastAsia"/>
          <w:color w:val="auto"/>
          <w:highlight w:val="none"/>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5.1</w:t>
      </w:r>
      <w:r>
        <w:rPr>
          <w:rFonts w:ascii="宋体"/>
          <w:bCs/>
          <w:color w:val="auto"/>
          <w:highlight w:val="none"/>
        </w:rPr>
        <w:tab/>
      </w:r>
      <w:r>
        <w:rPr>
          <w:rFonts w:hint="eastAsia" w:ascii="宋体"/>
          <w:bCs/>
          <w:color w:val="auto"/>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第一部分  投标邀请函</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第二部分  采购项目内容</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第三部分  投标人须知</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第四部分  参考合同</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5.2</w:t>
      </w:r>
      <w:r>
        <w:rPr>
          <w:rFonts w:hint="eastAsia" w:ascii="宋体"/>
          <w:bCs/>
          <w:color w:val="auto"/>
          <w:highlight w:val="none"/>
        </w:rPr>
        <w:t xml:space="preserve"> </w:t>
      </w:r>
      <w:r>
        <w:rPr>
          <w:rFonts w:ascii="宋体"/>
          <w:bCs/>
          <w:color w:val="auto"/>
          <w:highlight w:val="none"/>
        </w:rPr>
        <w:tab/>
      </w:r>
      <w:r>
        <w:rPr>
          <w:rFonts w:hint="eastAsia" w:ascii="宋体"/>
          <w:bCs/>
          <w:color w:val="auto"/>
          <w:highlight w:val="none"/>
        </w:rPr>
        <w:t>招标文件以中文编印。</w:t>
      </w:r>
    </w:p>
    <w:p>
      <w:pPr>
        <w:pStyle w:val="6"/>
        <w:numPr>
          <w:ilvl w:val="4"/>
          <w:numId w:val="24"/>
        </w:numPr>
        <w:tabs>
          <w:tab w:val="left" w:pos="720"/>
        </w:tabs>
        <w:spacing w:before="240" w:after="120"/>
        <w:ind w:left="2432" w:hanging="2432"/>
        <w:rPr>
          <w:color w:val="auto"/>
          <w:highlight w:val="none"/>
        </w:rPr>
      </w:pPr>
      <w:bookmarkStart w:id="378" w:name="_Toc503785403"/>
      <w:bookmarkStart w:id="379" w:name="_Toc339019864"/>
      <w:bookmarkStart w:id="380" w:name="_Toc365967048"/>
      <w:bookmarkStart w:id="381" w:name="_Toc340507417"/>
      <w:bookmarkStart w:id="382" w:name="_Toc333935321"/>
      <w:bookmarkStart w:id="383" w:name="_Toc333237652"/>
      <w:bookmarkStart w:id="384" w:name="_Toc365985154"/>
      <w:bookmarkStart w:id="385" w:name="_Toc349127601"/>
      <w:bookmarkStart w:id="386" w:name="_Toc339362275"/>
      <w:bookmarkStart w:id="387" w:name="_Toc331512873"/>
      <w:bookmarkStart w:id="388" w:name="_Toc336681910"/>
      <w:bookmarkStart w:id="389" w:name="_Toc370388389"/>
      <w:bookmarkStart w:id="390" w:name="_Toc497224201"/>
      <w:bookmarkStart w:id="391" w:name="_Toc337632333"/>
      <w:bookmarkStart w:id="392" w:name="_Toc339441062"/>
      <w:bookmarkStart w:id="393" w:name="_Toc333935662"/>
      <w:bookmarkStart w:id="394" w:name="_Toc332206683"/>
      <w:bookmarkStart w:id="395" w:name="_Toc345513842"/>
      <w:bookmarkStart w:id="396" w:name="_Toc342296735"/>
      <w:bookmarkStart w:id="397" w:name="_Toc332270321"/>
      <w:bookmarkStart w:id="398" w:name="_Toc333237763"/>
      <w:bookmarkStart w:id="399" w:name="_Toc349143564"/>
      <w:bookmarkStart w:id="400" w:name="_Toc339020070"/>
      <w:bookmarkStart w:id="401" w:name="_Toc339019990"/>
      <w:bookmarkStart w:id="402" w:name="_Toc339020208"/>
      <w:bookmarkStart w:id="403" w:name="_Toc333238608"/>
      <w:bookmarkStart w:id="404" w:name="_Toc331684013"/>
      <w:bookmarkStart w:id="405" w:name="_Toc336681555"/>
      <w:bookmarkStart w:id="406" w:name="_Toc350756425"/>
      <w:bookmarkStart w:id="407" w:name="_Toc342060349"/>
      <w:bookmarkStart w:id="408" w:name="_Toc341348313"/>
      <w:bookmarkStart w:id="409" w:name="_Toc350438724"/>
      <w:bookmarkStart w:id="410" w:name="_Toc340672844"/>
      <w:bookmarkStart w:id="411" w:name="_Toc340677045"/>
      <w:bookmarkStart w:id="412" w:name="_Toc330459960"/>
      <w:bookmarkStart w:id="413" w:name="_Toc374454576"/>
      <w:bookmarkStart w:id="414" w:name="_Toc17495"/>
      <w:bookmarkStart w:id="415" w:name="_Toc503785405"/>
      <w:bookmarkStart w:id="416" w:name="_Toc497224203"/>
      <w:bookmarkStart w:id="417" w:name="_Toc332206685"/>
      <w:bookmarkStart w:id="418" w:name="_Toc337632335"/>
      <w:bookmarkStart w:id="419" w:name="_Toc331684015"/>
      <w:bookmarkStart w:id="420" w:name="_Toc345513844"/>
      <w:bookmarkStart w:id="421" w:name="_Toc341348315"/>
      <w:bookmarkStart w:id="422" w:name="_Toc350438726"/>
      <w:bookmarkStart w:id="423" w:name="_Toc366072505"/>
      <w:bookmarkStart w:id="424" w:name="_Toc349127603"/>
      <w:bookmarkStart w:id="425" w:name="_Toc340677047"/>
      <w:bookmarkStart w:id="426" w:name="_Toc339362277"/>
      <w:bookmarkStart w:id="427" w:name="_Toc333237654"/>
      <w:bookmarkStart w:id="428" w:name="_Toc333238610"/>
      <w:bookmarkStart w:id="429" w:name="_Toc349143566"/>
      <w:bookmarkStart w:id="430" w:name="_Toc333237765"/>
      <w:bookmarkStart w:id="431" w:name="_Toc339020210"/>
      <w:bookmarkStart w:id="432" w:name="_Toc336681557"/>
      <w:bookmarkStart w:id="433" w:name="_Toc331512875"/>
      <w:bookmarkStart w:id="434" w:name="_Toc333935664"/>
      <w:bookmarkStart w:id="435" w:name="_Toc336681912"/>
      <w:bookmarkStart w:id="436" w:name="_Toc339019992"/>
      <w:bookmarkStart w:id="437" w:name="_Toc365985156"/>
      <w:bookmarkStart w:id="438" w:name="_Toc332270323"/>
      <w:bookmarkStart w:id="439" w:name="_Toc339441064"/>
      <w:bookmarkStart w:id="440" w:name="_Toc365967050"/>
      <w:bookmarkStart w:id="441" w:name="_Toc333935323"/>
      <w:bookmarkStart w:id="442" w:name="_Toc339020072"/>
      <w:bookmarkStart w:id="443" w:name="_Toc340672846"/>
      <w:bookmarkStart w:id="444" w:name="_Toc340507419"/>
      <w:bookmarkStart w:id="445" w:name="_Toc330459962"/>
      <w:bookmarkStart w:id="446" w:name="_Toc342060351"/>
      <w:bookmarkStart w:id="447" w:name="_Toc342296737"/>
      <w:bookmarkStart w:id="448" w:name="_Toc339019866"/>
      <w:bookmarkStart w:id="449" w:name="_Toc350756427"/>
      <w:r>
        <w:rPr>
          <w:rFonts w:hint="eastAsia"/>
          <w:color w:val="auto"/>
          <w:highlight w:val="none"/>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auto"/>
          <w:highlight w:val="none"/>
        </w:rPr>
        <w:t>、修改</w:t>
      </w:r>
      <w:bookmarkEnd w:id="413"/>
      <w:bookmarkEnd w:id="414"/>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澄清或修改时间距投标截止时间不足15日的，采购人或代理采购机构在征得已获取招标文件的投标人同意并书面确认后，可不改变投标截止时间。</w:t>
      </w:r>
    </w:p>
    <w:p>
      <w:pPr>
        <w:pStyle w:val="4"/>
        <w:numPr>
          <w:ilvl w:val="0"/>
          <w:numId w:val="0"/>
        </w:numPr>
        <w:rPr>
          <w:color w:val="auto"/>
          <w:sz w:val="24"/>
          <w:highlight w:val="none"/>
        </w:rPr>
      </w:pPr>
      <w:bookmarkStart w:id="450" w:name="_Toc374454577"/>
      <w:r>
        <w:rPr>
          <w:color w:val="auto"/>
          <w:sz w:val="24"/>
          <w:highlight w:val="none"/>
        </w:rPr>
        <w:br w:type="page"/>
      </w:r>
      <w:bookmarkStart w:id="451" w:name="_Toc29288"/>
      <w:r>
        <w:rPr>
          <w:rFonts w:hint="eastAsia"/>
          <w:color w:val="auto"/>
          <w:sz w:val="24"/>
          <w:highlight w:val="none"/>
        </w:rPr>
        <w:t>Ｃ投标文件的编</w:t>
      </w:r>
      <w:bookmarkEnd w:id="415"/>
      <w:bookmarkEnd w:id="416"/>
      <w:r>
        <w:rPr>
          <w:rFonts w:hint="eastAsia"/>
          <w:color w:val="auto"/>
          <w:sz w:val="24"/>
          <w:highlight w:val="none"/>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6"/>
        <w:numPr>
          <w:ilvl w:val="4"/>
          <w:numId w:val="24"/>
        </w:numPr>
        <w:tabs>
          <w:tab w:val="left" w:pos="720"/>
        </w:tabs>
        <w:spacing w:before="240" w:after="120"/>
        <w:ind w:left="2432" w:hanging="2432"/>
        <w:rPr>
          <w:color w:val="auto"/>
          <w:highlight w:val="none"/>
        </w:rPr>
      </w:pPr>
      <w:bookmarkStart w:id="452" w:name="_Toc341348316"/>
      <w:bookmarkStart w:id="453" w:name="_Toc331684016"/>
      <w:bookmarkStart w:id="454" w:name="_Toc350438727"/>
      <w:bookmarkStart w:id="455" w:name="_Toc345513845"/>
      <w:bookmarkStart w:id="456" w:name="_Toc365967051"/>
      <w:bookmarkStart w:id="457" w:name="_Toc342296738"/>
      <w:bookmarkStart w:id="458" w:name="_Toc333935665"/>
      <w:bookmarkStart w:id="459" w:name="_Toc333237655"/>
      <w:bookmarkStart w:id="460" w:name="_Toc339441065"/>
      <w:bookmarkStart w:id="461" w:name="_Toc374454578"/>
      <w:bookmarkStart w:id="462" w:name="_Toc340677048"/>
      <w:bookmarkStart w:id="463" w:name="_Toc340672847"/>
      <w:bookmarkStart w:id="464" w:name="_Toc333237766"/>
      <w:bookmarkStart w:id="465" w:name="_Toc349143567"/>
      <w:bookmarkStart w:id="466" w:name="_Toc332206686"/>
      <w:bookmarkStart w:id="467" w:name="_Toc503785406"/>
      <w:bookmarkStart w:id="468" w:name="_Toc330459963"/>
      <w:bookmarkStart w:id="469" w:name="_Toc339020211"/>
      <w:bookmarkStart w:id="470" w:name="_Toc339019867"/>
      <w:bookmarkStart w:id="471" w:name="_Toc337632336"/>
      <w:bookmarkStart w:id="472" w:name="_Toc497224204"/>
      <w:bookmarkStart w:id="473" w:name="_Toc333935324"/>
      <w:bookmarkStart w:id="474" w:name="_Toc332270324"/>
      <w:bookmarkStart w:id="475" w:name="_Toc340507420"/>
      <w:bookmarkStart w:id="476" w:name="_Toc366072506"/>
      <w:bookmarkStart w:id="477" w:name="_Toc339019993"/>
      <w:bookmarkStart w:id="478" w:name="_Toc339362278"/>
      <w:bookmarkStart w:id="479" w:name="_Toc342060352"/>
      <w:bookmarkStart w:id="480" w:name="_Toc349127604"/>
      <w:bookmarkStart w:id="481" w:name="_Toc339020073"/>
      <w:bookmarkStart w:id="482" w:name="_Toc350756428"/>
      <w:bookmarkStart w:id="483" w:name="_Toc336681558"/>
      <w:bookmarkStart w:id="484" w:name="_Toc365985157"/>
      <w:bookmarkStart w:id="485" w:name="_Toc333238611"/>
      <w:bookmarkStart w:id="486" w:name="_Toc331512876"/>
      <w:bookmarkStart w:id="487" w:name="_Toc336681913"/>
      <w:bookmarkStart w:id="488" w:name="_Toc18677"/>
      <w:r>
        <w:rPr>
          <w:rFonts w:hint="eastAsia"/>
          <w:color w:val="auto"/>
          <w:highlight w:val="none"/>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7</w:t>
      </w:r>
      <w:r>
        <w:rPr>
          <w:rFonts w:ascii="宋体"/>
          <w:bCs/>
          <w:color w:val="auto"/>
          <w:highlight w:val="none"/>
        </w:rPr>
        <w:t>.1</w:t>
      </w:r>
      <w:r>
        <w:rPr>
          <w:rFonts w:ascii="宋体"/>
          <w:bCs/>
          <w:color w:val="auto"/>
          <w:highlight w:val="none"/>
        </w:rPr>
        <w:tab/>
      </w:r>
      <w:r>
        <w:rPr>
          <w:rFonts w:hint="eastAsia" w:ascii="宋体"/>
          <w:bCs/>
          <w:color w:val="auto"/>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4"/>
        </w:numPr>
        <w:tabs>
          <w:tab w:val="left" w:pos="720"/>
        </w:tabs>
        <w:spacing w:before="240" w:after="120"/>
        <w:ind w:left="2432" w:hanging="2432"/>
        <w:rPr>
          <w:color w:val="auto"/>
          <w:highlight w:val="none"/>
        </w:rPr>
      </w:pPr>
      <w:bookmarkStart w:id="489" w:name="_Toc374454579"/>
      <w:bookmarkStart w:id="490" w:name="_Toc339019868"/>
      <w:bookmarkStart w:id="491" w:name="_Toc331512877"/>
      <w:bookmarkStart w:id="492" w:name="_Toc342296739"/>
      <w:bookmarkStart w:id="493" w:name="_Toc341348317"/>
      <w:bookmarkStart w:id="494" w:name="_Toc342060353"/>
      <w:bookmarkStart w:id="495" w:name="_Toc339441066"/>
      <w:bookmarkStart w:id="496" w:name="_Toc339020074"/>
      <w:bookmarkStart w:id="497" w:name="_Toc345513846"/>
      <w:bookmarkStart w:id="498" w:name="_Toc366072507"/>
      <w:bookmarkStart w:id="499" w:name="_Toc365967052"/>
      <w:bookmarkStart w:id="500" w:name="_Toc339020212"/>
      <w:bookmarkStart w:id="501" w:name="_Toc330459964"/>
      <w:bookmarkStart w:id="502" w:name="_Toc339362279"/>
      <w:bookmarkStart w:id="503" w:name="_Toc336681559"/>
      <w:bookmarkStart w:id="504" w:name="_Toc497224205"/>
      <w:bookmarkStart w:id="505" w:name="_Toc349143568"/>
      <w:bookmarkStart w:id="506" w:name="_Toc333935325"/>
      <w:bookmarkStart w:id="507" w:name="_Toc336681914"/>
      <w:bookmarkStart w:id="508" w:name="_Toc333237767"/>
      <w:bookmarkStart w:id="509" w:name="_Toc333935666"/>
      <w:bookmarkStart w:id="510" w:name="_Toc340677049"/>
      <w:bookmarkStart w:id="511" w:name="_Toc350756429"/>
      <w:bookmarkStart w:id="512" w:name="_Toc350438728"/>
      <w:bookmarkStart w:id="513" w:name="_Toc349127605"/>
      <w:bookmarkStart w:id="514" w:name="_Toc332270325"/>
      <w:bookmarkStart w:id="515" w:name="_Toc331684017"/>
      <w:bookmarkStart w:id="516" w:name="_Toc503785407"/>
      <w:bookmarkStart w:id="517" w:name="_Toc333237656"/>
      <w:bookmarkStart w:id="518" w:name="_Toc337632337"/>
      <w:bookmarkStart w:id="519" w:name="_Toc365985158"/>
      <w:bookmarkStart w:id="520" w:name="_Toc332206687"/>
      <w:bookmarkStart w:id="521" w:name="_Toc333238612"/>
      <w:bookmarkStart w:id="522" w:name="_Toc340507421"/>
      <w:bookmarkStart w:id="523" w:name="_Toc340672848"/>
      <w:bookmarkStart w:id="524" w:name="_Toc339019994"/>
      <w:bookmarkStart w:id="525" w:name="_Toc20349"/>
      <w:r>
        <w:rPr>
          <w:rFonts w:hint="eastAsia"/>
          <w:color w:val="auto"/>
          <w:highlight w:val="none"/>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.1</w:t>
      </w:r>
      <w:r>
        <w:rPr>
          <w:rFonts w:ascii="宋体"/>
          <w:bCs/>
          <w:color w:val="auto"/>
          <w:highlight w:val="none"/>
        </w:rPr>
        <w:tab/>
      </w:r>
      <w:r>
        <w:rPr>
          <w:rFonts w:hint="eastAsia" w:ascii="宋体"/>
          <w:bCs/>
          <w:color w:val="auto"/>
          <w:highlight w:val="none"/>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.2</w:t>
      </w:r>
      <w:r>
        <w:rPr>
          <w:rFonts w:hint="eastAsia" w:ascii="宋体"/>
          <w:bCs/>
          <w:color w:val="auto"/>
          <w:highlight w:val="none"/>
        </w:rPr>
        <w:t xml:space="preserve"> </w:t>
      </w:r>
      <w:r>
        <w:rPr>
          <w:rFonts w:ascii="宋体"/>
          <w:bCs/>
          <w:color w:val="auto"/>
          <w:highlight w:val="none"/>
        </w:rPr>
        <w:tab/>
      </w:r>
      <w:r>
        <w:rPr>
          <w:rFonts w:hint="eastAsia" w:ascii="宋体"/>
          <w:bCs/>
          <w:color w:val="auto"/>
          <w:highlight w:val="none"/>
        </w:rPr>
        <w:t>除在招标文件的技术规格中另有规定外，计量单位应使用中华人民共和国法定计量单位</w:t>
      </w:r>
      <w:r>
        <w:rPr>
          <w:rFonts w:hint="eastAsia"/>
          <w:bCs/>
          <w:color w:val="auto"/>
          <w:highlight w:val="none"/>
        </w:rPr>
        <w:t>（国际单位制和国家选定的其他计量单位）</w:t>
      </w:r>
      <w:r>
        <w:rPr>
          <w:rFonts w:hint="eastAsia" w:ascii="宋体"/>
          <w:bCs/>
          <w:color w:val="auto"/>
          <w:highlight w:val="none"/>
        </w:rPr>
        <w:t>。</w:t>
      </w:r>
    </w:p>
    <w:p>
      <w:pPr>
        <w:pStyle w:val="6"/>
        <w:numPr>
          <w:ilvl w:val="4"/>
          <w:numId w:val="24"/>
        </w:numPr>
        <w:tabs>
          <w:tab w:val="left" w:pos="720"/>
        </w:tabs>
        <w:spacing w:before="240" w:after="120"/>
        <w:ind w:left="2432" w:hanging="2432"/>
        <w:rPr>
          <w:color w:val="auto"/>
          <w:highlight w:val="none"/>
        </w:rPr>
      </w:pPr>
      <w:bookmarkStart w:id="526" w:name="_Toc331684018"/>
      <w:bookmarkStart w:id="527" w:name="_Toc349127606"/>
      <w:bookmarkStart w:id="528" w:name="_Toc339020213"/>
      <w:bookmarkStart w:id="529" w:name="_Toc339020075"/>
      <w:bookmarkStart w:id="530" w:name="_Toc350756430"/>
      <w:bookmarkStart w:id="531" w:name="_Toc333237768"/>
      <w:bookmarkStart w:id="532" w:name="_Toc339362280"/>
      <w:bookmarkStart w:id="533" w:name="_Toc333935326"/>
      <w:bookmarkStart w:id="534" w:name="_Toc339019869"/>
      <w:bookmarkStart w:id="535" w:name="_Toc341348318"/>
      <w:bookmarkStart w:id="536" w:name="_Toc337632338"/>
      <w:bookmarkStart w:id="537" w:name="_Toc340672849"/>
      <w:bookmarkStart w:id="538" w:name="_Toc336681915"/>
      <w:bookmarkStart w:id="539" w:name="_Toc342060354"/>
      <w:bookmarkStart w:id="540" w:name="_Toc330459965"/>
      <w:bookmarkStart w:id="541" w:name="_Toc340507422"/>
      <w:bookmarkStart w:id="542" w:name="_Toc340677050"/>
      <w:bookmarkStart w:id="543" w:name="_Toc336681560"/>
      <w:bookmarkStart w:id="544" w:name="_Toc365985159"/>
      <w:bookmarkStart w:id="545" w:name="_Toc342296740"/>
      <w:bookmarkStart w:id="546" w:name="_Toc349143569"/>
      <w:bookmarkStart w:id="547" w:name="_Toc333237657"/>
      <w:bookmarkStart w:id="548" w:name="_Toc366072508"/>
      <w:bookmarkStart w:id="549" w:name="_Toc365967053"/>
      <w:bookmarkStart w:id="550" w:name="_Toc339441067"/>
      <w:bookmarkStart w:id="551" w:name="_Toc333935667"/>
      <w:bookmarkStart w:id="552" w:name="_Toc374454580"/>
      <w:bookmarkStart w:id="553" w:name="_Toc345513847"/>
      <w:bookmarkStart w:id="554" w:name="_Toc332206688"/>
      <w:bookmarkStart w:id="555" w:name="_Toc497224206"/>
      <w:bookmarkStart w:id="556" w:name="_Toc332270326"/>
      <w:bookmarkStart w:id="557" w:name="_Toc333238613"/>
      <w:bookmarkStart w:id="558" w:name="_Toc331512878"/>
      <w:bookmarkStart w:id="559" w:name="_Toc503785408"/>
      <w:bookmarkStart w:id="560" w:name="_Toc350438729"/>
      <w:bookmarkStart w:id="561" w:name="_Toc339019995"/>
      <w:bookmarkStart w:id="562" w:name="_Toc22537"/>
      <w:r>
        <w:rPr>
          <w:rFonts w:hint="eastAsia"/>
          <w:color w:val="auto"/>
          <w:highlight w:val="none"/>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auto"/>
          <w:highlight w:val="none"/>
        </w:rPr>
      </w:pPr>
      <w:r>
        <w:rPr>
          <w:rFonts w:hint="eastAsia" w:ascii="宋体"/>
          <w:bCs/>
          <w:color w:val="auto"/>
          <w:highlight w:val="none"/>
        </w:rPr>
        <w:t>9</w:t>
      </w:r>
      <w:r>
        <w:rPr>
          <w:rFonts w:ascii="宋体"/>
          <w:bCs/>
          <w:color w:val="auto"/>
          <w:highlight w:val="none"/>
        </w:rPr>
        <w:t>.1</w:t>
      </w:r>
      <w:r>
        <w:rPr>
          <w:rFonts w:hint="eastAsia" w:ascii="宋体"/>
          <w:bCs/>
          <w:color w:val="auto"/>
          <w:highlight w:val="none"/>
        </w:rPr>
        <w:t xml:space="preserve">   投标文件包括：</w:t>
      </w:r>
    </w:p>
    <w:p>
      <w:pPr>
        <w:widowControl/>
        <w:adjustRightInd w:val="0"/>
        <w:snapToGrid w:val="0"/>
        <w:spacing w:line="360" w:lineRule="auto"/>
        <w:ind w:left="734"/>
        <w:rPr>
          <w:rFonts w:ascii="宋体" w:hAnsi="宋体"/>
          <w:bCs/>
          <w:color w:val="auto"/>
          <w:highlight w:val="none"/>
        </w:rPr>
      </w:pPr>
      <w:bookmarkStart w:id="563" w:name="_Toc503785409"/>
      <w:bookmarkStart w:id="564" w:name="_Toc497224207"/>
      <w:r>
        <w:rPr>
          <w:rFonts w:hint="eastAsia" w:ascii="宋体" w:hAnsi="宋体"/>
          <w:bCs/>
          <w:color w:val="auto"/>
          <w:highlight w:val="none"/>
        </w:rPr>
        <w:t>第一章 资格审查文件（含附件）</w:t>
      </w:r>
    </w:p>
    <w:p>
      <w:pPr>
        <w:widowControl/>
        <w:adjustRightInd w:val="0"/>
        <w:snapToGrid w:val="0"/>
        <w:spacing w:line="360" w:lineRule="auto"/>
        <w:ind w:left="734"/>
        <w:rPr>
          <w:rFonts w:ascii="宋体" w:hAnsi="宋体"/>
          <w:bCs/>
          <w:color w:val="auto"/>
          <w:highlight w:val="none"/>
        </w:rPr>
      </w:pPr>
      <w:r>
        <w:rPr>
          <w:rFonts w:hint="eastAsia" w:ascii="宋体" w:hAnsi="宋体"/>
          <w:bCs/>
          <w:color w:val="auto"/>
          <w:highlight w:val="none"/>
        </w:rPr>
        <w:t>第二章 商务和技术部分</w:t>
      </w:r>
    </w:p>
    <w:p>
      <w:pPr>
        <w:pStyle w:val="6"/>
        <w:numPr>
          <w:ilvl w:val="4"/>
          <w:numId w:val="24"/>
        </w:numPr>
        <w:tabs>
          <w:tab w:val="left" w:pos="720"/>
        </w:tabs>
        <w:spacing w:before="240" w:after="120"/>
        <w:ind w:left="2432" w:hanging="2432"/>
        <w:rPr>
          <w:color w:val="auto"/>
          <w:highlight w:val="none"/>
        </w:rPr>
      </w:pPr>
      <w:bookmarkStart w:id="565" w:name="_Toc341348319"/>
      <w:bookmarkStart w:id="566" w:name="_Toc350438730"/>
      <w:bookmarkStart w:id="567" w:name="_Toc349143570"/>
      <w:bookmarkStart w:id="568" w:name="_Toc333935668"/>
      <w:bookmarkStart w:id="569" w:name="_Toc333238614"/>
      <w:bookmarkStart w:id="570" w:name="_Toc365985160"/>
      <w:bookmarkStart w:id="571" w:name="_Toc339019996"/>
      <w:bookmarkStart w:id="572" w:name="_Toc332206689"/>
      <w:bookmarkStart w:id="573" w:name="_Toc339441068"/>
      <w:bookmarkStart w:id="574" w:name="_Toc340677051"/>
      <w:bookmarkStart w:id="575" w:name="_Toc330459966"/>
      <w:bookmarkStart w:id="576" w:name="_Toc331512879"/>
      <w:bookmarkStart w:id="577" w:name="_Toc336681916"/>
      <w:bookmarkStart w:id="578" w:name="_Toc333237658"/>
      <w:bookmarkStart w:id="579" w:name="_Toc340672850"/>
      <w:bookmarkStart w:id="580" w:name="_Toc339020214"/>
      <w:bookmarkStart w:id="581" w:name="_Toc366072509"/>
      <w:bookmarkStart w:id="582" w:name="_Toc350756431"/>
      <w:bookmarkStart w:id="583" w:name="_Toc336681561"/>
      <w:bookmarkStart w:id="584" w:name="_Toc365967054"/>
      <w:bookmarkStart w:id="585" w:name="_Toc337632339"/>
      <w:bookmarkStart w:id="586" w:name="_Toc340507423"/>
      <w:bookmarkStart w:id="587" w:name="_Toc339020076"/>
      <w:bookmarkStart w:id="588" w:name="_Toc342060355"/>
      <w:bookmarkStart w:id="589" w:name="_Toc374454581"/>
      <w:bookmarkStart w:id="590" w:name="_Toc333935327"/>
      <w:bookmarkStart w:id="591" w:name="_Toc331684019"/>
      <w:bookmarkStart w:id="592" w:name="_Toc332270327"/>
      <w:bookmarkStart w:id="593" w:name="_Toc349127607"/>
      <w:bookmarkStart w:id="594" w:name="_Toc333237769"/>
      <w:bookmarkStart w:id="595" w:name="_Toc345513848"/>
      <w:bookmarkStart w:id="596" w:name="_Toc342296741"/>
      <w:bookmarkStart w:id="597" w:name="_Toc339019870"/>
      <w:bookmarkStart w:id="598" w:name="_Toc339362281"/>
      <w:bookmarkStart w:id="599" w:name="_Toc31212"/>
      <w:r>
        <w:rPr>
          <w:rFonts w:hint="eastAsia"/>
          <w:color w:val="auto"/>
          <w:highlight w:val="none"/>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0</w:t>
      </w:r>
      <w:r>
        <w:rPr>
          <w:rFonts w:ascii="宋体"/>
          <w:bCs/>
          <w:color w:val="auto"/>
          <w:highlight w:val="none"/>
        </w:rPr>
        <w:t>.1</w:t>
      </w:r>
      <w:r>
        <w:rPr>
          <w:rFonts w:hint="eastAsia" w:ascii="宋体"/>
          <w:bCs/>
          <w:color w:val="auto"/>
          <w:highlight w:val="none"/>
        </w:rPr>
        <w:t xml:space="preserve">   投标人应</w:t>
      </w:r>
      <w:r>
        <w:rPr>
          <w:rFonts w:hint="eastAsia" w:ascii="宋体" w:hAnsi="宋体"/>
          <w:bCs/>
          <w:color w:val="auto"/>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10.2 </w:t>
      </w:r>
      <w:r>
        <w:rPr>
          <w:rFonts w:hint="eastAsia" w:ascii="宋体" w:hAnsi="宋体"/>
          <w:bCs/>
          <w:color w:val="auto"/>
          <w:highlight w:val="none"/>
        </w:rPr>
        <w:tab/>
      </w:r>
      <w:r>
        <w:rPr>
          <w:rFonts w:hint="eastAsia" w:ascii="宋体" w:hAnsi="宋体"/>
          <w:bCs/>
          <w:color w:val="auto"/>
          <w:highlight w:val="none"/>
        </w:rPr>
        <w:tab/>
      </w:r>
      <w:r>
        <w:rPr>
          <w:rFonts w:hint="eastAsia" w:ascii="宋体" w:hAnsi="宋体"/>
          <w:bCs/>
          <w:color w:val="auto"/>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4"/>
        </w:numPr>
        <w:tabs>
          <w:tab w:val="left" w:pos="720"/>
        </w:tabs>
        <w:spacing w:before="240" w:after="120"/>
        <w:ind w:left="2432" w:hanging="2432"/>
        <w:rPr>
          <w:color w:val="auto"/>
          <w:highlight w:val="none"/>
        </w:rPr>
      </w:pPr>
      <w:bookmarkStart w:id="600" w:name="_Toc5003680"/>
      <w:bookmarkStart w:id="601" w:name="_Toc332206690"/>
      <w:bookmarkStart w:id="602" w:name="_Toc333238615"/>
      <w:bookmarkStart w:id="603" w:name="_Toc337632340"/>
      <w:bookmarkStart w:id="604" w:name="_Toc342296742"/>
      <w:bookmarkStart w:id="605" w:name="_Toc331684020"/>
      <w:bookmarkStart w:id="606" w:name="_Toc340677052"/>
      <w:bookmarkStart w:id="607" w:name="_Toc345513849"/>
      <w:bookmarkStart w:id="608" w:name="_Toc336681917"/>
      <w:bookmarkStart w:id="609" w:name="_Toc333935669"/>
      <w:bookmarkStart w:id="610" w:name="_Toc365967055"/>
      <w:bookmarkStart w:id="611" w:name="_Toc330459967"/>
      <w:bookmarkStart w:id="612" w:name="_Toc332270328"/>
      <w:bookmarkStart w:id="613" w:name="_Toc349127608"/>
      <w:bookmarkStart w:id="614" w:name="_Toc333237659"/>
      <w:bookmarkStart w:id="615" w:name="_Toc339020077"/>
      <w:bookmarkStart w:id="616" w:name="_Toc339020215"/>
      <w:bookmarkStart w:id="617" w:name="_Toc366072510"/>
      <w:bookmarkStart w:id="618" w:name="_Toc340672851"/>
      <w:bookmarkStart w:id="619" w:name="_Toc333935328"/>
      <w:bookmarkStart w:id="620" w:name="_Toc339441069"/>
      <w:bookmarkStart w:id="621" w:name="_Toc341348320"/>
      <w:bookmarkStart w:id="622" w:name="_Toc350756432"/>
      <w:bookmarkStart w:id="623" w:name="_Toc339019871"/>
      <w:bookmarkStart w:id="624" w:name="_Toc340507424"/>
      <w:bookmarkStart w:id="625" w:name="_Toc342060356"/>
      <w:bookmarkStart w:id="626" w:name="_Toc339362282"/>
      <w:bookmarkStart w:id="627" w:name="_Toc365985161"/>
      <w:bookmarkStart w:id="628" w:name="_Toc374454582"/>
      <w:bookmarkStart w:id="629" w:name="_Toc349143571"/>
      <w:bookmarkStart w:id="630" w:name="_Toc331512880"/>
      <w:bookmarkStart w:id="631" w:name="_Toc333237770"/>
      <w:bookmarkStart w:id="632" w:name="_Toc339019997"/>
      <w:bookmarkStart w:id="633" w:name="_Toc350438731"/>
      <w:bookmarkStart w:id="634" w:name="_Toc336681562"/>
      <w:bookmarkStart w:id="635" w:name="_Toc29152"/>
      <w:r>
        <w:rPr>
          <w:rFonts w:hint="eastAsia"/>
          <w:color w:val="auto"/>
          <w:highlight w:val="none"/>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11.1  </w:t>
      </w:r>
      <w:r>
        <w:rPr>
          <w:rFonts w:hint="eastAsia" w:ascii="宋体" w:hAnsi="宋体"/>
          <w:bCs/>
          <w:color w:val="auto"/>
          <w:highlight w:val="none"/>
        </w:rPr>
        <w:tab/>
      </w:r>
      <w:r>
        <w:rPr>
          <w:rFonts w:hint="eastAsia" w:ascii="宋体" w:hAnsi="宋体"/>
          <w:bCs/>
          <w:color w:val="auto"/>
          <w:highlight w:val="none"/>
        </w:rPr>
        <w:t>投标人应按招标文件的要求，提交其有资格参加投标和中标后有履行合同能力的文件，并作为其投标文件的组成部分，包括但不限于下列文件：</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投标人满足招标文件中列出的资格标准；</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4"/>
        </w:numPr>
        <w:tabs>
          <w:tab w:val="left" w:pos="720"/>
        </w:tabs>
        <w:spacing w:before="240" w:after="120"/>
        <w:ind w:left="2432" w:hanging="2432"/>
        <w:rPr>
          <w:color w:val="auto"/>
          <w:highlight w:val="none"/>
        </w:rPr>
      </w:pPr>
      <w:bookmarkStart w:id="636" w:name="_Toc350438732"/>
      <w:bookmarkStart w:id="637" w:name="_Toc342296743"/>
      <w:bookmarkStart w:id="638" w:name="_Toc330459968"/>
      <w:bookmarkStart w:id="639" w:name="_Toc331512881"/>
      <w:bookmarkStart w:id="640" w:name="_Toc336681563"/>
      <w:bookmarkStart w:id="641" w:name="_Toc339019998"/>
      <w:bookmarkStart w:id="642" w:name="_Toc333238616"/>
      <w:bookmarkStart w:id="643" w:name="_Toc339362283"/>
      <w:bookmarkStart w:id="644" w:name="_Toc339020078"/>
      <w:bookmarkStart w:id="645" w:name="_Toc337632341"/>
      <w:bookmarkStart w:id="646" w:name="_Toc339441070"/>
      <w:bookmarkStart w:id="647" w:name="_Toc332270329"/>
      <w:bookmarkStart w:id="648" w:name="_Toc332206691"/>
      <w:bookmarkStart w:id="649" w:name="_Toc340672852"/>
      <w:bookmarkStart w:id="650" w:name="_Toc336681918"/>
      <w:bookmarkStart w:id="651" w:name="_Toc5003681"/>
      <w:bookmarkStart w:id="652" w:name="_Toc339020216"/>
      <w:bookmarkStart w:id="653" w:name="_Toc349143572"/>
      <w:bookmarkStart w:id="654" w:name="_Toc333935329"/>
      <w:bookmarkStart w:id="655" w:name="_Toc333935670"/>
      <w:bookmarkStart w:id="656" w:name="_Toc365967056"/>
      <w:bookmarkStart w:id="657" w:name="_Toc345513850"/>
      <w:bookmarkStart w:id="658" w:name="_Toc333237660"/>
      <w:bookmarkStart w:id="659" w:name="_Toc342060357"/>
      <w:bookmarkStart w:id="660" w:name="_Toc340677053"/>
      <w:bookmarkStart w:id="661" w:name="_Toc333237771"/>
      <w:bookmarkStart w:id="662" w:name="_Toc366072511"/>
      <w:bookmarkStart w:id="663" w:name="_Toc365985162"/>
      <w:bookmarkStart w:id="664" w:name="_Toc331684021"/>
      <w:bookmarkStart w:id="665" w:name="_Toc374454583"/>
      <w:bookmarkStart w:id="666" w:name="_Toc340507425"/>
      <w:bookmarkStart w:id="667" w:name="_Toc341348321"/>
      <w:bookmarkStart w:id="668" w:name="_Toc339019872"/>
      <w:bookmarkStart w:id="669" w:name="_Toc350756433"/>
      <w:bookmarkStart w:id="670" w:name="_Toc349127609"/>
      <w:bookmarkStart w:id="671" w:name="_Toc158"/>
      <w:r>
        <w:rPr>
          <w:rFonts w:hint="eastAsia"/>
          <w:color w:val="auto"/>
          <w:highlight w:val="none"/>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 xml:space="preserve">12.1 </w:t>
      </w:r>
      <w:r>
        <w:rPr>
          <w:rFonts w:hint="eastAsia" w:ascii="宋体" w:hAnsi="宋体"/>
          <w:bCs/>
          <w:color w:val="auto"/>
          <w:highlight w:val="none"/>
        </w:rPr>
        <w:tab/>
      </w:r>
      <w:r>
        <w:rPr>
          <w:rFonts w:hint="eastAsia" w:ascii="宋体" w:hAnsi="宋体"/>
          <w:bCs/>
          <w:color w:val="auto"/>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12.2</w:t>
      </w:r>
      <w:r>
        <w:rPr>
          <w:rFonts w:hint="eastAsia" w:ascii="宋体" w:hAnsi="宋体"/>
          <w:bCs/>
          <w:color w:val="auto"/>
          <w:highlight w:val="none"/>
        </w:rPr>
        <w:tab/>
      </w:r>
      <w:r>
        <w:rPr>
          <w:rFonts w:hint="eastAsia" w:ascii="宋体" w:hAnsi="宋体"/>
          <w:bCs/>
          <w:color w:val="auto"/>
          <w:highlight w:val="none"/>
        </w:rPr>
        <w:t xml:space="preserve"> 证明货物和服务与招标文件的要求相一致的文件，它可以是文字资料、图纸、手册和数据，包括：</w:t>
      </w:r>
    </w:p>
    <w:p>
      <w:pPr>
        <w:numPr>
          <w:ilvl w:val="5"/>
          <w:numId w:val="24"/>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货物主要技术指标和性能的详细说明。</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货物从采购人开始使用至招标要求中规定的周期内正常、连续地使用所必须的备件和专用工具清单，包括备件和专用工具的货源及现行价格。</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12.3</w:t>
      </w:r>
      <w:r>
        <w:rPr>
          <w:rFonts w:hint="eastAsia" w:ascii="宋体" w:hAnsi="宋体"/>
          <w:bCs/>
          <w:color w:val="auto"/>
          <w:highlight w:val="none"/>
        </w:rPr>
        <w:tab/>
      </w:r>
      <w:r>
        <w:rPr>
          <w:rFonts w:hint="eastAsia" w:ascii="宋体" w:hAnsi="宋体"/>
          <w:bCs/>
          <w:color w:val="auto"/>
          <w:highlight w:val="none"/>
        </w:rPr>
        <w:t xml:space="preserve"> </w:t>
      </w:r>
      <w:r>
        <w:rPr>
          <w:rFonts w:hint="eastAsia"/>
          <w:color w:val="auto"/>
          <w:highlight w:val="none"/>
        </w:rPr>
        <w:t>投标人在阐述上述第</w:t>
      </w:r>
      <w:r>
        <w:rPr>
          <w:rFonts w:hint="eastAsia" w:ascii="宋体" w:hAnsi="宋体"/>
          <w:color w:val="auto"/>
          <w:highlight w:val="none"/>
        </w:rPr>
        <w:t>12.2（3）</w:t>
      </w:r>
      <w:r>
        <w:rPr>
          <w:rFonts w:hint="eastAsia"/>
          <w:color w:val="auto"/>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color w:val="auto"/>
          <w:highlight w:val="none"/>
        </w:rPr>
        <w:t>12.4   评标委员会对投标人所提供的证明货物和服务的合格性的文件进行审查，审查不合格的投标将作为无效投标处理。</w:t>
      </w:r>
    </w:p>
    <w:p>
      <w:pPr>
        <w:pStyle w:val="6"/>
        <w:numPr>
          <w:ilvl w:val="4"/>
          <w:numId w:val="24"/>
        </w:numPr>
        <w:tabs>
          <w:tab w:val="left" w:pos="720"/>
        </w:tabs>
        <w:spacing w:before="240" w:after="120"/>
        <w:ind w:left="2432" w:hanging="2432"/>
        <w:rPr>
          <w:color w:val="auto"/>
          <w:highlight w:val="none"/>
        </w:rPr>
      </w:pPr>
      <w:bookmarkStart w:id="672" w:name="_Toc332206692"/>
      <w:bookmarkStart w:id="673" w:name="_Toc333238617"/>
      <w:bookmarkStart w:id="674" w:name="_Toc374454584"/>
      <w:bookmarkStart w:id="675" w:name="_Toc365967057"/>
      <w:bookmarkStart w:id="676" w:name="_Toc336681564"/>
      <w:bookmarkStart w:id="677" w:name="_Toc340672853"/>
      <w:bookmarkStart w:id="678" w:name="_Toc503785411"/>
      <w:bookmarkStart w:id="679" w:name="_Toc341348322"/>
      <w:bookmarkStart w:id="680" w:name="_Toc345513851"/>
      <w:bookmarkStart w:id="681" w:name="_Toc365985163"/>
      <w:bookmarkStart w:id="682" w:name="_Toc349143573"/>
      <w:bookmarkStart w:id="683" w:name="_Toc336681919"/>
      <w:bookmarkStart w:id="684" w:name="_Toc332270330"/>
      <w:bookmarkStart w:id="685" w:name="_Toc331684022"/>
      <w:bookmarkStart w:id="686" w:name="_Toc333935671"/>
      <w:bookmarkStart w:id="687" w:name="_Toc339019999"/>
      <w:bookmarkStart w:id="688" w:name="_Toc340507426"/>
      <w:bookmarkStart w:id="689" w:name="_Toc339441071"/>
      <w:bookmarkStart w:id="690" w:name="_Toc339362284"/>
      <w:bookmarkStart w:id="691" w:name="_Toc339019873"/>
      <w:bookmarkStart w:id="692" w:name="_Toc339020079"/>
      <w:bookmarkStart w:id="693" w:name="_Toc337632342"/>
      <w:bookmarkStart w:id="694" w:name="_Toc366072512"/>
      <w:bookmarkStart w:id="695" w:name="_Toc331512882"/>
      <w:bookmarkStart w:id="696" w:name="_Toc333935330"/>
      <w:bookmarkStart w:id="697" w:name="_Toc342060358"/>
      <w:bookmarkStart w:id="698" w:name="_Toc350438733"/>
      <w:bookmarkStart w:id="699" w:name="_Toc349127610"/>
      <w:bookmarkStart w:id="700" w:name="_Toc497224209"/>
      <w:bookmarkStart w:id="701" w:name="_Toc350756434"/>
      <w:bookmarkStart w:id="702" w:name="_Toc339020217"/>
      <w:bookmarkStart w:id="703" w:name="_Toc342296744"/>
      <w:bookmarkStart w:id="704" w:name="_Toc340677054"/>
      <w:bookmarkStart w:id="705" w:name="_Toc333237772"/>
      <w:bookmarkStart w:id="706" w:name="_Toc333237661"/>
      <w:bookmarkStart w:id="707" w:name="_Toc330459969"/>
      <w:bookmarkStart w:id="708" w:name="_Toc586"/>
      <w:r>
        <w:rPr>
          <w:rFonts w:hint="eastAsia"/>
          <w:color w:val="auto"/>
          <w:highlight w:val="none"/>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13.1</w:t>
      </w:r>
      <w:r>
        <w:rPr>
          <w:rFonts w:hint="eastAsia" w:ascii="宋体" w:hAnsi="宋体"/>
          <w:color w:val="auto"/>
          <w:highlight w:val="none"/>
        </w:rPr>
        <w:tab/>
      </w:r>
      <w:r>
        <w:rPr>
          <w:rFonts w:hint="eastAsia" w:ascii="宋体" w:hAnsi="宋体"/>
          <w:color w:val="auto"/>
          <w:highlight w:val="none"/>
        </w:rPr>
        <w:t xml:space="preserve"> 投标报价应为包括设备费、备品备件费、运输费、安装调试费、技术资料费、验收费、应缴税费、培训费和质量保证期内维修费等在内的</w:t>
      </w:r>
      <w:r>
        <w:rPr>
          <w:rFonts w:hint="eastAsia" w:ascii="宋体" w:hAnsi="宋体"/>
          <w:bCs/>
          <w:color w:val="auto"/>
          <w:highlight w:val="none"/>
        </w:rPr>
        <w:t>价格。</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13.3</w:t>
      </w:r>
      <w:r>
        <w:rPr>
          <w:rFonts w:hint="eastAsia" w:ascii="宋体" w:hAnsi="宋体"/>
          <w:color w:val="auto"/>
          <w:highlight w:val="none"/>
        </w:rPr>
        <w:tab/>
      </w:r>
      <w:r>
        <w:rPr>
          <w:rFonts w:hint="eastAsia" w:ascii="宋体" w:hAnsi="宋体"/>
          <w:color w:val="auto"/>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13.6   投标人在投标文件中如有任何遗漏，影响到招标文件中规定的范围、质量、性能和项目的实施或限制了采购人的权利和投标人的义务，由此产生的费用由投标人负责。</w:t>
      </w:r>
    </w:p>
    <w:p>
      <w:pPr>
        <w:pStyle w:val="6"/>
        <w:numPr>
          <w:ilvl w:val="4"/>
          <w:numId w:val="24"/>
        </w:numPr>
        <w:tabs>
          <w:tab w:val="left" w:pos="720"/>
        </w:tabs>
        <w:spacing w:before="240" w:after="120"/>
        <w:ind w:left="2432" w:hanging="2432"/>
        <w:rPr>
          <w:color w:val="auto"/>
          <w:highlight w:val="none"/>
        </w:rPr>
      </w:pPr>
      <w:bookmarkStart w:id="709" w:name="_Toc350438734"/>
      <w:bookmarkStart w:id="710" w:name="_Toc332270331"/>
      <w:bookmarkStart w:id="711" w:name="_Toc337632343"/>
      <w:bookmarkStart w:id="712" w:name="_Toc332206693"/>
      <w:bookmarkStart w:id="713" w:name="_Toc374454585"/>
      <w:bookmarkStart w:id="714" w:name="_Toc342060359"/>
      <w:bookmarkStart w:id="715" w:name="_Toc497224212"/>
      <w:bookmarkStart w:id="716" w:name="_Toc339019874"/>
      <w:bookmarkStart w:id="717" w:name="_Toc340672854"/>
      <w:bookmarkStart w:id="718" w:name="_Toc330459970"/>
      <w:bookmarkStart w:id="719" w:name="_Toc339362285"/>
      <w:bookmarkStart w:id="720" w:name="_Toc339020000"/>
      <w:bookmarkStart w:id="721" w:name="_Toc349143574"/>
      <w:bookmarkStart w:id="722" w:name="_Toc333237662"/>
      <w:bookmarkStart w:id="723" w:name="_Toc333238618"/>
      <w:bookmarkStart w:id="724" w:name="_Toc342296745"/>
      <w:bookmarkStart w:id="725" w:name="_Toc339020080"/>
      <w:bookmarkStart w:id="726" w:name="_Toc333935331"/>
      <w:bookmarkStart w:id="727" w:name="_Toc336681565"/>
      <w:bookmarkStart w:id="728" w:name="_Toc340677055"/>
      <w:bookmarkStart w:id="729" w:name="_Toc331512883"/>
      <w:bookmarkStart w:id="730" w:name="_Toc333935672"/>
      <w:bookmarkStart w:id="731" w:name="_Toc341348323"/>
      <w:bookmarkStart w:id="732" w:name="_Toc345513852"/>
      <w:bookmarkStart w:id="733" w:name="_Toc333237773"/>
      <w:bookmarkStart w:id="734" w:name="_Toc340507427"/>
      <w:bookmarkStart w:id="735" w:name="_Toc350756435"/>
      <w:bookmarkStart w:id="736" w:name="_Toc503785414"/>
      <w:bookmarkStart w:id="737" w:name="_Toc349127611"/>
      <w:bookmarkStart w:id="738" w:name="_Toc339020218"/>
      <w:bookmarkStart w:id="739" w:name="_Toc339441072"/>
      <w:bookmarkStart w:id="740" w:name="_Toc336681920"/>
      <w:bookmarkStart w:id="741" w:name="_Toc365985164"/>
      <w:bookmarkStart w:id="742" w:name="_Toc366072513"/>
      <w:bookmarkStart w:id="743" w:name="_Toc365967058"/>
      <w:bookmarkStart w:id="744" w:name="_Toc331684023"/>
      <w:bookmarkStart w:id="745" w:name="_Toc32387"/>
      <w:r>
        <w:rPr>
          <w:rFonts w:hint="eastAsia"/>
          <w:color w:val="auto"/>
          <w:highlight w:val="none"/>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.1</w:t>
      </w:r>
      <w:r>
        <w:rPr>
          <w:rFonts w:ascii="宋体"/>
          <w:bCs/>
          <w:color w:val="auto"/>
          <w:highlight w:val="none"/>
        </w:rPr>
        <w:tab/>
      </w:r>
      <w:r>
        <w:rPr>
          <w:rFonts w:hint="eastAsia" w:ascii="宋体"/>
          <w:bCs/>
          <w:color w:val="auto"/>
          <w:highlight w:val="none"/>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color w:val="auto"/>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bCs/>
          <w:color w:val="auto"/>
          <w:highlight w:val="none"/>
        </w:rPr>
        <w:t>14.3</w:t>
      </w:r>
      <w:r>
        <w:rPr>
          <w:rFonts w:hint="eastAsia" w:ascii="宋体"/>
          <w:bCs/>
          <w:color w:val="auto"/>
          <w:highlight w:val="none"/>
        </w:rPr>
        <w:tab/>
      </w:r>
      <w:r>
        <w:rPr>
          <w:rFonts w:hint="eastAsia" w:ascii="宋体"/>
          <w:bCs/>
          <w:color w:val="auto"/>
          <w:highlight w:val="none"/>
        </w:rPr>
        <w:t>投标保证金用于保护本次招标免遭因投标人的行为而蒙受的损失。</w:t>
      </w:r>
      <w:r>
        <w:rPr>
          <w:rFonts w:hint="eastAsia" w:ascii="宋体" w:hAnsi="宋体"/>
          <w:color w:val="auto"/>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4</w:t>
      </w:r>
      <w:r>
        <w:rPr>
          <w:rFonts w:hint="eastAsia" w:ascii="宋体"/>
          <w:bCs/>
          <w:color w:val="auto"/>
          <w:highlight w:val="none"/>
        </w:rPr>
        <w:tab/>
      </w:r>
      <w:r>
        <w:rPr>
          <w:rFonts w:hint="eastAsia" w:ascii="宋体" w:hAnsi="宋体"/>
          <w:bCs/>
          <w:color w:val="auto"/>
          <w:highlight w:val="none"/>
        </w:rPr>
        <w:t>凡未按本须知第14.2条规定随附有效投标保证金的投标</w:t>
      </w:r>
      <w:r>
        <w:rPr>
          <w:rFonts w:ascii="宋体" w:hAnsi="宋体"/>
          <w:bCs/>
          <w:color w:val="auto"/>
          <w:highlight w:val="none"/>
        </w:rPr>
        <w:t>,</w:t>
      </w:r>
      <w:r>
        <w:rPr>
          <w:rFonts w:hint="eastAsia" w:ascii="宋体" w:hAnsi="宋体"/>
          <w:bCs/>
          <w:color w:val="auto"/>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5</w:t>
      </w:r>
      <w:r>
        <w:rPr>
          <w:rFonts w:ascii="宋体"/>
          <w:bCs/>
          <w:color w:val="auto"/>
          <w:highlight w:val="none"/>
        </w:rPr>
        <w:tab/>
      </w:r>
      <w:r>
        <w:rPr>
          <w:rFonts w:hint="eastAsia" w:ascii="宋体" w:hAnsi="宋体"/>
          <w:bCs/>
          <w:color w:val="auto"/>
          <w:highlight w:val="none"/>
        </w:rPr>
        <w:t>未中标的投标人的投标保证金，采购</w:t>
      </w:r>
      <w:r>
        <w:rPr>
          <w:rFonts w:hint="eastAsia" w:ascii="宋体" w:hAnsi="宋体"/>
          <w:bCs/>
          <w:color w:val="auto"/>
          <w:szCs w:val="21"/>
          <w:highlight w:val="none"/>
        </w:rPr>
        <w:t>代理</w:t>
      </w:r>
      <w:r>
        <w:rPr>
          <w:rFonts w:hint="eastAsia" w:ascii="宋体" w:hAnsi="宋体"/>
          <w:bCs/>
          <w:color w:val="auto"/>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6</w:t>
      </w:r>
      <w:r>
        <w:rPr>
          <w:rFonts w:ascii="宋体"/>
          <w:bCs/>
          <w:color w:val="auto"/>
          <w:highlight w:val="none"/>
        </w:rPr>
        <w:tab/>
      </w:r>
      <w:r>
        <w:rPr>
          <w:rFonts w:hint="eastAsia" w:ascii="宋体" w:hAnsi="宋体"/>
          <w:bCs/>
          <w:color w:val="auto"/>
          <w:highlight w:val="none"/>
        </w:rPr>
        <w:t>中标投标人的投标保证金</w:t>
      </w:r>
      <w:r>
        <w:rPr>
          <w:rFonts w:ascii="宋体" w:hAnsi="宋体"/>
          <w:bCs/>
          <w:color w:val="auto"/>
          <w:highlight w:val="none"/>
        </w:rPr>
        <w:t>，</w:t>
      </w:r>
      <w:r>
        <w:rPr>
          <w:rFonts w:hint="eastAsia" w:ascii="宋体" w:hAnsi="宋体"/>
          <w:bCs/>
          <w:color w:val="auto"/>
          <w:highlight w:val="none"/>
        </w:rPr>
        <w:t>在中标投标人付清中标服务费、签订合同之日起5个工作日内无息退</w:t>
      </w:r>
      <w:r>
        <w:rPr>
          <w:rFonts w:hint="eastAsia" w:ascii="宋体"/>
          <w:bCs/>
          <w:color w:val="auto"/>
          <w:highlight w:val="none"/>
        </w:rPr>
        <w:t>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7</w:t>
      </w:r>
      <w:r>
        <w:rPr>
          <w:rFonts w:ascii="宋体"/>
          <w:bCs/>
          <w:color w:val="auto"/>
          <w:highlight w:val="none"/>
        </w:rPr>
        <w:tab/>
      </w:r>
      <w:r>
        <w:rPr>
          <w:rFonts w:hint="eastAsia" w:ascii="宋体"/>
          <w:bCs/>
          <w:color w:val="auto"/>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（4）投标人提供虚假投标文件或虚假补充文件的。</w:t>
      </w:r>
    </w:p>
    <w:p>
      <w:pPr>
        <w:pStyle w:val="6"/>
        <w:numPr>
          <w:ilvl w:val="4"/>
          <w:numId w:val="24"/>
        </w:numPr>
        <w:tabs>
          <w:tab w:val="left" w:pos="720"/>
        </w:tabs>
        <w:spacing w:before="240" w:after="120"/>
        <w:ind w:left="2432" w:hanging="2432"/>
        <w:rPr>
          <w:color w:val="auto"/>
          <w:highlight w:val="none"/>
        </w:rPr>
      </w:pPr>
      <w:bookmarkStart w:id="746" w:name="_Toc331512884"/>
      <w:bookmarkStart w:id="747" w:name="_Toc330459971"/>
      <w:bookmarkStart w:id="748" w:name="_Toc366072514"/>
      <w:bookmarkStart w:id="749" w:name="_Toc333237663"/>
      <w:bookmarkStart w:id="750" w:name="_Toc345513853"/>
      <w:bookmarkStart w:id="751" w:name="_Toc337632344"/>
      <w:bookmarkStart w:id="752" w:name="_Toc333935332"/>
      <w:bookmarkStart w:id="753" w:name="_Toc349127612"/>
      <w:bookmarkStart w:id="754" w:name="_Toc339020219"/>
      <w:bookmarkStart w:id="755" w:name="_Toc336681921"/>
      <w:bookmarkStart w:id="756" w:name="_Toc339362286"/>
      <w:bookmarkStart w:id="757" w:name="_Toc341348324"/>
      <w:bookmarkStart w:id="758" w:name="_Toc365967059"/>
      <w:bookmarkStart w:id="759" w:name="_Toc332206694"/>
      <w:bookmarkStart w:id="760" w:name="_Toc339020001"/>
      <w:bookmarkStart w:id="761" w:name="_Toc497224213"/>
      <w:bookmarkStart w:id="762" w:name="_Toc349143575"/>
      <w:bookmarkStart w:id="763" w:name="_Toc503785415"/>
      <w:bookmarkStart w:id="764" w:name="_Toc340507428"/>
      <w:bookmarkStart w:id="765" w:name="_Toc336681566"/>
      <w:bookmarkStart w:id="766" w:name="_Toc350438735"/>
      <w:bookmarkStart w:id="767" w:name="_Toc333935673"/>
      <w:bookmarkStart w:id="768" w:name="_Toc340677056"/>
      <w:bookmarkStart w:id="769" w:name="_Toc339019875"/>
      <w:bookmarkStart w:id="770" w:name="_Toc350756436"/>
      <w:bookmarkStart w:id="771" w:name="_Toc365985165"/>
      <w:bookmarkStart w:id="772" w:name="_Toc374454586"/>
      <w:bookmarkStart w:id="773" w:name="_Toc340672855"/>
      <w:bookmarkStart w:id="774" w:name="_Toc333238619"/>
      <w:bookmarkStart w:id="775" w:name="_Toc332270332"/>
      <w:bookmarkStart w:id="776" w:name="_Toc339020081"/>
      <w:bookmarkStart w:id="777" w:name="_Toc331684024"/>
      <w:bookmarkStart w:id="778" w:name="_Toc333237774"/>
      <w:bookmarkStart w:id="779" w:name="_Toc342060360"/>
      <w:bookmarkStart w:id="780" w:name="_Toc342296746"/>
      <w:bookmarkStart w:id="781" w:name="_Toc339441073"/>
      <w:bookmarkStart w:id="782" w:name="_Toc9549"/>
      <w:r>
        <w:rPr>
          <w:rFonts w:hint="eastAsia"/>
          <w:color w:val="auto"/>
          <w:highlight w:val="none"/>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.1</w:t>
      </w:r>
      <w:r>
        <w:rPr>
          <w:rFonts w:hint="eastAsia" w:ascii="宋体"/>
          <w:bCs/>
          <w:color w:val="auto"/>
          <w:highlight w:val="none"/>
        </w:rPr>
        <w:t xml:space="preserve"> </w:t>
      </w:r>
      <w:r>
        <w:rPr>
          <w:rFonts w:hint="eastAsia" w:ascii="宋体"/>
          <w:bCs/>
          <w:color w:val="auto"/>
          <w:highlight w:val="none"/>
        </w:rPr>
        <w:tab/>
      </w:r>
      <w:r>
        <w:rPr>
          <w:rFonts w:hint="eastAsia" w:ascii="宋体"/>
          <w:bCs/>
          <w:color w:val="auto"/>
          <w:highlight w:val="none"/>
        </w:rPr>
        <w:t>从开标之日起，本项目的投标有效期为90天。</w:t>
      </w:r>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.2</w:t>
      </w:r>
      <w:r>
        <w:rPr>
          <w:rFonts w:hint="eastAsia" w:ascii="宋体"/>
          <w:bCs/>
          <w:color w:val="auto"/>
          <w:highlight w:val="none"/>
        </w:rPr>
        <w:tab/>
      </w:r>
      <w:r>
        <w:rPr>
          <w:rFonts w:hint="eastAsia" w:ascii="宋体"/>
          <w:bCs/>
          <w:color w:val="auto"/>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4"/>
        </w:numPr>
        <w:tabs>
          <w:tab w:val="left" w:pos="720"/>
        </w:tabs>
        <w:spacing w:before="240" w:after="120"/>
        <w:ind w:left="2432" w:hanging="2432"/>
        <w:rPr>
          <w:color w:val="auto"/>
          <w:highlight w:val="none"/>
        </w:rPr>
      </w:pPr>
      <w:bookmarkStart w:id="783" w:name="_Toc333935333"/>
      <w:bookmarkStart w:id="784" w:name="_Toc339020002"/>
      <w:bookmarkStart w:id="785" w:name="_Toc333237775"/>
      <w:bookmarkStart w:id="786" w:name="_Toc340677057"/>
      <w:bookmarkStart w:id="787" w:name="_Toc341348325"/>
      <w:bookmarkStart w:id="788" w:name="_Toc340507429"/>
      <w:bookmarkStart w:id="789" w:name="_Toc331512885"/>
      <w:bookmarkStart w:id="790" w:name="_Toc374454587"/>
      <w:bookmarkStart w:id="791" w:name="_Toc339020082"/>
      <w:bookmarkStart w:id="792" w:name="_Toc337632345"/>
      <w:bookmarkStart w:id="793" w:name="_Toc350438736"/>
      <w:bookmarkStart w:id="794" w:name="_Toc336681567"/>
      <w:bookmarkStart w:id="795" w:name="_Toc333238620"/>
      <w:bookmarkStart w:id="796" w:name="_Toc332270333"/>
      <w:bookmarkStart w:id="797" w:name="_Toc349127613"/>
      <w:bookmarkStart w:id="798" w:name="_Toc330459972"/>
      <w:bookmarkStart w:id="799" w:name="_Toc349143576"/>
      <w:bookmarkStart w:id="800" w:name="_Toc331684025"/>
      <w:bookmarkStart w:id="801" w:name="_Toc366072515"/>
      <w:bookmarkStart w:id="802" w:name="_Toc339019876"/>
      <w:bookmarkStart w:id="803" w:name="_Toc342296747"/>
      <w:bookmarkStart w:id="804" w:name="_Toc339441074"/>
      <w:bookmarkStart w:id="805" w:name="_Toc333935674"/>
      <w:bookmarkStart w:id="806" w:name="_Toc333237664"/>
      <w:bookmarkStart w:id="807" w:name="_Toc111534389"/>
      <w:bookmarkStart w:id="808" w:name="_Toc340672856"/>
      <w:bookmarkStart w:id="809" w:name="_Toc365985166"/>
      <w:bookmarkStart w:id="810" w:name="_Toc497224214"/>
      <w:bookmarkStart w:id="811" w:name="_Toc365967060"/>
      <w:bookmarkStart w:id="812" w:name="_Toc332206695"/>
      <w:bookmarkStart w:id="813" w:name="_Toc345513854"/>
      <w:bookmarkStart w:id="814" w:name="_Toc339362287"/>
      <w:bookmarkStart w:id="815" w:name="_Toc342060361"/>
      <w:bookmarkStart w:id="816" w:name="_Toc339020220"/>
      <w:bookmarkStart w:id="817" w:name="_Toc336681922"/>
      <w:bookmarkStart w:id="818" w:name="_Toc350756437"/>
      <w:bookmarkStart w:id="819" w:name="_Toc503785416"/>
      <w:bookmarkStart w:id="820" w:name="_Toc16638"/>
      <w:r>
        <w:rPr>
          <w:rFonts w:hint="eastAsia"/>
          <w:color w:val="auto"/>
          <w:highlight w:val="none"/>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auto"/>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.2</w:t>
      </w:r>
      <w:r>
        <w:rPr>
          <w:rFonts w:hint="eastAsia" w:ascii="宋体"/>
          <w:bCs/>
          <w:color w:val="auto"/>
          <w:highlight w:val="none"/>
        </w:rPr>
        <w:tab/>
      </w:r>
      <w:r>
        <w:rPr>
          <w:rFonts w:hint="eastAsia" w:ascii="宋体" w:hAnsi="宋体"/>
          <w:bCs/>
          <w:color w:val="auto"/>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.3</w:t>
      </w:r>
      <w:r>
        <w:rPr>
          <w:rFonts w:hint="eastAsia" w:ascii="宋体"/>
          <w:bCs/>
          <w:color w:val="auto"/>
          <w:highlight w:val="none"/>
        </w:rPr>
        <w:tab/>
      </w:r>
      <w:r>
        <w:rPr>
          <w:rFonts w:hint="eastAsia" w:ascii="宋体"/>
          <w:bCs/>
          <w:color w:val="auto"/>
          <w:highlight w:val="none"/>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auto"/>
          <w:sz w:val="24"/>
          <w:highlight w:val="none"/>
        </w:rPr>
      </w:pPr>
      <w:bookmarkStart w:id="821" w:name="_Toc340677058"/>
      <w:bookmarkStart w:id="822" w:name="_Toc339441075"/>
      <w:bookmarkStart w:id="823" w:name="_Toc332270334"/>
      <w:bookmarkStart w:id="824" w:name="_Toc333935334"/>
      <w:bookmarkStart w:id="825" w:name="_Toc340672857"/>
      <w:bookmarkStart w:id="826" w:name="_Toc339019877"/>
      <w:bookmarkStart w:id="827" w:name="_Toc339020083"/>
      <w:bookmarkStart w:id="828" w:name="_Toc331684026"/>
      <w:bookmarkStart w:id="829" w:name="_Toc339362288"/>
      <w:bookmarkStart w:id="830" w:name="_Toc349143577"/>
      <w:bookmarkStart w:id="831" w:name="_Toc365967061"/>
      <w:bookmarkStart w:id="832" w:name="_Toc350756438"/>
      <w:bookmarkStart w:id="833" w:name="_Toc337632346"/>
      <w:bookmarkStart w:id="834" w:name="_Toc349127614"/>
      <w:bookmarkStart w:id="835" w:name="_Toc330459973"/>
      <w:bookmarkStart w:id="836" w:name="_Toc336681923"/>
      <w:bookmarkStart w:id="837" w:name="_Toc333935675"/>
      <w:bookmarkStart w:id="838" w:name="_Toc503785417"/>
      <w:bookmarkStart w:id="839" w:name="_Toc336681568"/>
      <w:bookmarkStart w:id="840" w:name="_Toc365985167"/>
      <w:bookmarkStart w:id="841" w:name="_Toc111534390"/>
      <w:bookmarkStart w:id="842" w:name="_Toc342060362"/>
      <w:bookmarkStart w:id="843" w:name="_Toc341348326"/>
      <w:bookmarkStart w:id="844" w:name="_Toc340507430"/>
      <w:bookmarkStart w:id="845" w:name="_Toc332206696"/>
      <w:bookmarkStart w:id="846" w:name="_Toc331512886"/>
      <w:bookmarkStart w:id="847" w:name="_Toc366072516"/>
      <w:bookmarkStart w:id="848" w:name="_Toc374454588"/>
      <w:bookmarkStart w:id="849" w:name="_Toc350438737"/>
      <w:bookmarkStart w:id="850" w:name="_Toc497224215"/>
      <w:bookmarkStart w:id="851" w:name="_Toc333238621"/>
      <w:bookmarkStart w:id="852" w:name="_Toc333237665"/>
      <w:bookmarkStart w:id="853" w:name="_Toc333237776"/>
      <w:bookmarkStart w:id="854" w:name="_Toc345513855"/>
      <w:bookmarkStart w:id="855" w:name="_Toc342296748"/>
      <w:bookmarkStart w:id="856" w:name="_Toc339020221"/>
      <w:bookmarkStart w:id="857" w:name="_Toc339020003"/>
      <w:r>
        <w:rPr>
          <w:color w:val="auto"/>
          <w:sz w:val="24"/>
          <w:highlight w:val="none"/>
        </w:rPr>
        <w:br w:type="page"/>
      </w:r>
      <w:bookmarkStart w:id="858" w:name="_Toc22129"/>
      <w:r>
        <w:rPr>
          <w:rFonts w:hint="eastAsia"/>
          <w:color w:val="auto"/>
          <w:sz w:val="24"/>
          <w:highlight w:val="none"/>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6"/>
        <w:numPr>
          <w:ilvl w:val="4"/>
          <w:numId w:val="24"/>
        </w:numPr>
        <w:tabs>
          <w:tab w:val="left" w:pos="251"/>
          <w:tab w:val="left" w:pos="720"/>
        </w:tabs>
        <w:spacing w:before="240" w:after="120"/>
        <w:ind w:left="751" w:leftChars="1" w:hangingChars="357"/>
        <w:rPr>
          <w:rFonts w:ascii="宋体" w:hAnsi="宋体"/>
          <w:color w:val="auto"/>
          <w:highlight w:val="none"/>
        </w:rPr>
      </w:pPr>
      <w:bookmarkStart w:id="859" w:name="_Toc333238622"/>
      <w:bookmarkStart w:id="860" w:name="_Toc339020084"/>
      <w:bookmarkStart w:id="861" w:name="_Toc339020004"/>
      <w:bookmarkStart w:id="862" w:name="_Toc349143578"/>
      <w:bookmarkStart w:id="863" w:name="_Toc337632347"/>
      <w:bookmarkStart w:id="864" w:name="_Toc374454589"/>
      <w:bookmarkStart w:id="865" w:name="_Toc339019878"/>
      <w:bookmarkStart w:id="866" w:name="_Toc331684027"/>
      <w:bookmarkStart w:id="867" w:name="_Toc340677059"/>
      <w:bookmarkStart w:id="868" w:name="_Toc333935335"/>
      <w:bookmarkStart w:id="869" w:name="_Toc333237777"/>
      <w:bookmarkStart w:id="870" w:name="_Toc332270335"/>
      <w:bookmarkStart w:id="871" w:name="_Toc336681569"/>
      <w:bookmarkStart w:id="872" w:name="_Toc339020222"/>
      <w:bookmarkStart w:id="873" w:name="_Toc340672858"/>
      <w:bookmarkStart w:id="874" w:name="_Toc342296749"/>
      <w:bookmarkStart w:id="875" w:name="_Toc331512887"/>
      <w:bookmarkStart w:id="876" w:name="_Toc111534391"/>
      <w:bookmarkStart w:id="877" w:name="_Toc339441076"/>
      <w:bookmarkStart w:id="878" w:name="_Toc345513856"/>
      <w:bookmarkStart w:id="879" w:name="_Toc350756439"/>
      <w:bookmarkStart w:id="880" w:name="_Toc333237666"/>
      <w:bookmarkStart w:id="881" w:name="_Toc366072517"/>
      <w:bookmarkStart w:id="882" w:name="_Toc333935676"/>
      <w:bookmarkStart w:id="883" w:name="_Toc350438738"/>
      <w:bookmarkStart w:id="884" w:name="_Toc349127615"/>
      <w:bookmarkStart w:id="885" w:name="_Toc339362289"/>
      <w:bookmarkStart w:id="886" w:name="_Toc497224216"/>
      <w:bookmarkStart w:id="887" w:name="_Toc341348327"/>
      <w:bookmarkStart w:id="888" w:name="_Toc340507431"/>
      <w:bookmarkStart w:id="889" w:name="_Toc503785418"/>
      <w:bookmarkStart w:id="890" w:name="_Toc332206697"/>
      <w:bookmarkStart w:id="891" w:name="_Toc342060363"/>
      <w:bookmarkStart w:id="892" w:name="_Toc365967062"/>
      <w:bookmarkStart w:id="893" w:name="_Toc330459974"/>
      <w:bookmarkStart w:id="894" w:name="_Toc365985168"/>
      <w:bookmarkStart w:id="895" w:name="_Toc336681924"/>
      <w:r>
        <w:rPr>
          <w:rFonts w:hint="eastAsia"/>
          <w:color w:val="auto"/>
          <w:highlight w:val="none"/>
        </w:rPr>
        <w:t xml:space="preserve">     </w:t>
      </w:r>
      <w:bookmarkStart w:id="896" w:name="_Toc21113"/>
      <w:r>
        <w:rPr>
          <w:rFonts w:hint="eastAsia"/>
          <w:color w:val="auto"/>
          <w:highlight w:val="none"/>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5"/>
        <w:rPr>
          <w:color w:val="auto"/>
          <w:highlight w:val="none"/>
        </w:rPr>
      </w:pPr>
      <w:r>
        <w:rPr>
          <w:rFonts w:hint="eastAsia"/>
          <w:color w:val="auto"/>
          <w:highlight w:val="none"/>
        </w:rPr>
        <w:tab/>
      </w:r>
      <w:r>
        <w:rPr>
          <w:rFonts w:hint="eastAsia"/>
          <w:color w:val="auto"/>
          <w:highlight w:val="none"/>
        </w:rPr>
        <w:t xml:space="preserve">  </w:t>
      </w:r>
      <w:r>
        <w:rPr>
          <w:rFonts w:hint="eastAsia" w:ascii="黑体" w:eastAsia="黑体"/>
          <w:bCs/>
          <w:color w:val="auto"/>
          <w:kern w:val="2"/>
          <w:sz w:val="21"/>
          <w:szCs w:val="24"/>
          <w:highlight w:val="none"/>
        </w:rPr>
        <w:t>详见第三部份《投标人须知〈投标人须知前附表〉》。</w:t>
      </w:r>
    </w:p>
    <w:p>
      <w:pPr>
        <w:pStyle w:val="6"/>
        <w:numPr>
          <w:ilvl w:val="4"/>
          <w:numId w:val="24"/>
        </w:numPr>
        <w:tabs>
          <w:tab w:val="left" w:pos="720"/>
        </w:tabs>
        <w:spacing w:before="240" w:after="120"/>
        <w:ind w:left="2432" w:hanging="2432"/>
        <w:rPr>
          <w:color w:val="auto"/>
          <w:highlight w:val="none"/>
        </w:rPr>
      </w:pPr>
      <w:bookmarkStart w:id="897" w:name="_Toc339019879"/>
      <w:bookmarkStart w:id="898" w:name="_Toc342060364"/>
      <w:bookmarkStart w:id="899" w:name="_Toc337632348"/>
      <w:bookmarkStart w:id="900" w:name="_Toc350438739"/>
      <w:bookmarkStart w:id="901" w:name="_Toc333935677"/>
      <w:bookmarkStart w:id="902" w:name="_Toc339020223"/>
      <w:bookmarkStart w:id="903" w:name="_Toc340507432"/>
      <w:bookmarkStart w:id="904" w:name="_Toc333935336"/>
      <w:bookmarkStart w:id="905" w:name="_Toc350756440"/>
      <w:bookmarkStart w:id="906" w:name="_Toc332206698"/>
      <w:bookmarkStart w:id="907" w:name="_Toc111534392"/>
      <w:bookmarkStart w:id="908" w:name="_Toc333238623"/>
      <w:bookmarkStart w:id="909" w:name="_Toc497224217"/>
      <w:bookmarkStart w:id="910" w:name="_Toc336681925"/>
      <w:bookmarkStart w:id="911" w:name="_Toc339441077"/>
      <w:bookmarkStart w:id="912" w:name="_Toc333237667"/>
      <w:bookmarkStart w:id="913" w:name="_Toc332270336"/>
      <w:bookmarkStart w:id="914" w:name="_Toc340677060"/>
      <w:bookmarkStart w:id="915" w:name="_Toc374454590"/>
      <w:bookmarkStart w:id="916" w:name="_Toc349127616"/>
      <w:bookmarkStart w:id="917" w:name="_Toc341348328"/>
      <w:bookmarkStart w:id="918" w:name="_Toc342296750"/>
      <w:bookmarkStart w:id="919" w:name="_Toc365985169"/>
      <w:bookmarkStart w:id="920" w:name="_Toc333237778"/>
      <w:bookmarkStart w:id="921" w:name="_Toc339020005"/>
      <w:bookmarkStart w:id="922" w:name="_Toc336681570"/>
      <w:bookmarkStart w:id="923" w:name="_Toc345513857"/>
      <w:bookmarkStart w:id="924" w:name="_Toc331512888"/>
      <w:bookmarkStart w:id="925" w:name="_Toc339020085"/>
      <w:bookmarkStart w:id="926" w:name="_Toc340672859"/>
      <w:bookmarkStart w:id="927" w:name="_Toc339362290"/>
      <w:bookmarkStart w:id="928" w:name="_Toc365967063"/>
      <w:bookmarkStart w:id="929" w:name="_Toc503785419"/>
      <w:bookmarkStart w:id="930" w:name="_Toc349143579"/>
      <w:bookmarkStart w:id="931" w:name="_Toc330459975"/>
      <w:bookmarkStart w:id="932" w:name="_Toc366072518"/>
      <w:bookmarkStart w:id="933" w:name="_Toc331684028"/>
      <w:bookmarkStart w:id="934" w:name="_Toc1899"/>
      <w:r>
        <w:rPr>
          <w:rFonts w:hint="eastAsia"/>
          <w:color w:val="auto"/>
          <w:highlight w:val="none"/>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18.1</w:t>
      </w:r>
      <w:r>
        <w:rPr>
          <w:rFonts w:hint="eastAsia" w:ascii="宋体" w:hAnsi="宋体"/>
          <w:bCs/>
          <w:color w:val="auto"/>
          <w:highlight w:val="none"/>
        </w:rPr>
        <w:tab/>
      </w:r>
      <w:r>
        <w:rPr>
          <w:rFonts w:hint="eastAsia" w:ascii="宋体" w:hAnsi="宋体"/>
          <w:bCs/>
          <w:color w:val="auto"/>
          <w:highlight w:val="none"/>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18.2</w:t>
      </w:r>
      <w:r>
        <w:rPr>
          <w:rFonts w:hint="eastAsia" w:ascii="宋体" w:hAnsi="宋体"/>
          <w:bCs/>
          <w:color w:val="auto"/>
          <w:highlight w:val="none"/>
        </w:rPr>
        <w:tab/>
      </w:r>
      <w:r>
        <w:rPr>
          <w:rFonts w:hint="eastAsia" w:ascii="宋体" w:hAnsi="宋体"/>
          <w:bCs/>
          <w:color w:val="auto"/>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bookmarkStart w:id="935" w:name="_Toc333238624"/>
      <w:bookmarkStart w:id="936" w:name="_Toc331512889"/>
      <w:bookmarkStart w:id="937" w:name="_Toc349127617"/>
      <w:bookmarkStart w:id="938" w:name="_Toc497224218"/>
      <w:bookmarkStart w:id="939" w:name="_Toc339362291"/>
      <w:bookmarkStart w:id="940" w:name="_Toc333237779"/>
      <w:bookmarkStart w:id="941" w:name="_Toc340672860"/>
      <w:bookmarkStart w:id="942" w:name="_Toc330459976"/>
      <w:bookmarkStart w:id="943" w:name="_Toc332206699"/>
      <w:bookmarkStart w:id="944" w:name="_Toc339020006"/>
      <w:bookmarkStart w:id="945" w:name="_Toc340507433"/>
      <w:bookmarkStart w:id="946" w:name="_Toc339019880"/>
      <w:bookmarkStart w:id="947" w:name="_Toc333935678"/>
      <w:bookmarkStart w:id="948" w:name="_Toc366072519"/>
      <w:bookmarkStart w:id="949" w:name="_Toc350438740"/>
      <w:bookmarkStart w:id="950" w:name="_Toc340677061"/>
      <w:bookmarkStart w:id="951" w:name="_Toc349143580"/>
      <w:bookmarkStart w:id="952" w:name="_Toc342296751"/>
      <w:bookmarkStart w:id="953" w:name="_Toc333237668"/>
      <w:bookmarkStart w:id="954" w:name="_Toc339020086"/>
      <w:bookmarkStart w:id="955" w:name="_Toc374454591"/>
      <w:bookmarkStart w:id="956" w:name="_Toc503785420"/>
      <w:bookmarkStart w:id="957" w:name="_Toc345513858"/>
      <w:bookmarkStart w:id="958" w:name="_Toc332270337"/>
      <w:bookmarkStart w:id="959" w:name="_Toc337632349"/>
      <w:bookmarkStart w:id="960" w:name="_Toc339020224"/>
      <w:bookmarkStart w:id="961" w:name="_Toc341348329"/>
      <w:bookmarkStart w:id="962" w:name="_Toc336681926"/>
      <w:bookmarkStart w:id="963" w:name="_Toc336681571"/>
      <w:bookmarkStart w:id="964" w:name="_Toc342060365"/>
      <w:bookmarkStart w:id="965" w:name="_Toc333935337"/>
      <w:bookmarkStart w:id="966" w:name="_Toc350756441"/>
      <w:bookmarkStart w:id="967" w:name="_Toc365985170"/>
      <w:bookmarkStart w:id="968" w:name="_Toc339441078"/>
      <w:bookmarkStart w:id="969" w:name="_Toc365967064"/>
      <w:bookmarkStart w:id="970" w:name="_Toc331684029"/>
      <w:r>
        <w:rPr>
          <w:rFonts w:hint="eastAsia" w:ascii="宋体" w:hAnsi="宋体"/>
          <w:bCs/>
          <w:color w:val="auto"/>
          <w:highlight w:val="none"/>
        </w:rPr>
        <w:t>18.3</w:t>
      </w:r>
      <w:r>
        <w:rPr>
          <w:rFonts w:hint="eastAsia" w:ascii="宋体" w:hAnsi="宋体"/>
          <w:bCs/>
          <w:color w:val="auto"/>
          <w:highlight w:val="none"/>
        </w:rPr>
        <w:tab/>
      </w:r>
      <w:r>
        <w:rPr>
          <w:rFonts w:hint="eastAsia" w:ascii="宋体" w:hAnsi="宋体"/>
          <w:bCs/>
          <w:color w:val="auto"/>
          <w:highlight w:val="none"/>
        </w:rPr>
        <w:t xml:space="preserve"> 代理采购机构于投标截止时间前30分钟开始接收投标文件，并于招标文件“第一部分投标邀请函”规定的开标时间、开标地点公开开标。</w:t>
      </w:r>
    </w:p>
    <w:p>
      <w:pPr>
        <w:pStyle w:val="6"/>
        <w:numPr>
          <w:ilvl w:val="4"/>
          <w:numId w:val="24"/>
        </w:numPr>
        <w:tabs>
          <w:tab w:val="left" w:pos="720"/>
        </w:tabs>
        <w:spacing w:before="240" w:after="120"/>
        <w:ind w:left="2432" w:hanging="2432"/>
        <w:rPr>
          <w:color w:val="auto"/>
          <w:highlight w:val="none"/>
        </w:rPr>
      </w:pPr>
      <w:bookmarkStart w:id="971" w:name="_Toc4837"/>
      <w:r>
        <w:rPr>
          <w:rFonts w:hint="eastAsia"/>
          <w:color w:val="auto"/>
          <w:highlight w:val="none"/>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hint="eastAsia" w:ascii="宋体"/>
          <w:bCs/>
          <w:color w:val="auto"/>
          <w:highlight w:val="none"/>
        </w:rPr>
        <w:t>19</w:t>
      </w:r>
      <w:r>
        <w:rPr>
          <w:rFonts w:ascii="宋体"/>
          <w:bCs/>
          <w:color w:val="auto"/>
          <w:highlight w:val="none"/>
        </w:rPr>
        <w:t>.1</w:t>
      </w:r>
      <w:r>
        <w:rPr>
          <w:rFonts w:hint="eastAsia" w:ascii="宋体"/>
          <w:bCs/>
          <w:color w:val="auto"/>
          <w:highlight w:val="none"/>
        </w:rPr>
        <w:t xml:space="preserve"> </w:t>
      </w:r>
      <w:r>
        <w:rPr>
          <w:rFonts w:hint="eastAsia" w:ascii="宋体"/>
          <w:bCs/>
          <w:color w:val="auto"/>
          <w:highlight w:val="none"/>
        </w:rPr>
        <w:tab/>
      </w:r>
      <w:r>
        <w:rPr>
          <w:rFonts w:hint="eastAsia" w:ascii="宋体"/>
          <w:bCs/>
          <w:color w:val="auto"/>
          <w:highlight w:val="none"/>
        </w:rPr>
        <w:t>代理采购机构将拒绝在投标截止时间后递交的任何投标文件。</w:t>
      </w:r>
    </w:p>
    <w:p>
      <w:pPr>
        <w:pStyle w:val="6"/>
        <w:numPr>
          <w:ilvl w:val="4"/>
          <w:numId w:val="24"/>
        </w:numPr>
        <w:tabs>
          <w:tab w:val="left" w:pos="720"/>
        </w:tabs>
        <w:spacing w:before="240" w:after="120"/>
        <w:ind w:left="2432" w:hanging="2432"/>
        <w:rPr>
          <w:color w:val="auto"/>
          <w:highlight w:val="none"/>
        </w:rPr>
      </w:pPr>
      <w:bookmarkStart w:id="972" w:name="_Toc503785421"/>
      <w:bookmarkStart w:id="973" w:name="_Toc497224219"/>
      <w:bookmarkStart w:id="974" w:name="_Toc336681572"/>
      <w:bookmarkStart w:id="975" w:name="_Toc331684030"/>
      <w:bookmarkStart w:id="976" w:name="_Toc342296752"/>
      <w:bookmarkStart w:id="977" w:name="_Toc339020007"/>
      <w:bookmarkStart w:id="978" w:name="_Toc333238625"/>
      <w:bookmarkStart w:id="979" w:name="_Toc366072520"/>
      <w:bookmarkStart w:id="980" w:name="_Toc365967065"/>
      <w:bookmarkStart w:id="981" w:name="_Toc365985171"/>
      <w:bookmarkStart w:id="982" w:name="_Toc340507434"/>
      <w:bookmarkStart w:id="983" w:name="_Toc339019881"/>
      <w:bookmarkStart w:id="984" w:name="_Toc339362292"/>
      <w:bookmarkStart w:id="985" w:name="_Toc340672861"/>
      <w:bookmarkStart w:id="986" w:name="_Toc374454592"/>
      <w:bookmarkStart w:id="987" w:name="_Toc330459977"/>
      <w:bookmarkStart w:id="988" w:name="_Toc339020087"/>
      <w:bookmarkStart w:id="989" w:name="_Toc342060366"/>
      <w:bookmarkStart w:id="990" w:name="_Toc340677062"/>
      <w:bookmarkStart w:id="991" w:name="_Toc349143581"/>
      <w:bookmarkStart w:id="992" w:name="_Toc349127618"/>
      <w:bookmarkStart w:id="993" w:name="_Toc345513859"/>
      <w:bookmarkStart w:id="994" w:name="_Toc331512890"/>
      <w:bookmarkStart w:id="995" w:name="_Toc336681927"/>
      <w:bookmarkStart w:id="996" w:name="_Toc341348330"/>
      <w:bookmarkStart w:id="997" w:name="_Toc333935679"/>
      <w:bookmarkStart w:id="998" w:name="_Toc339441079"/>
      <w:bookmarkStart w:id="999" w:name="_Toc332270338"/>
      <w:bookmarkStart w:id="1000" w:name="_Toc350756442"/>
      <w:bookmarkStart w:id="1001" w:name="_Toc350438741"/>
      <w:bookmarkStart w:id="1002" w:name="_Toc339020225"/>
      <w:bookmarkStart w:id="1003" w:name="_Toc333237669"/>
      <w:bookmarkStart w:id="1004" w:name="_Toc332206700"/>
      <w:bookmarkStart w:id="1005" w:name="_Toc333237780"/>
      <w:bookmarkStart w:id="1006" w:name="_Toc337632350"/>
      <w:bookmarkStart w:id="1007" w:name="_Toc333935338"/>
      <w:bookmarkStart w:id="1008" w:name="_Toc16695"/>
      <w:r>
        <w:rPr>
          <w:rFonts w:hint="eastAsia"/>
          <w:color w:val="auto"/>
          <w:highlight w:val="none"/>
        </w:rPr>
        <w:t>投标文件的修改和撤</w:t>
      </w:r>
      <w:bookmarkEnd w:id="972"/>
      <w:bookmarkEnd w:id="973"/>
      <w:r>
        <w:rPr>
          <w:rFonts w:hint="eastAsia"/>
          <w:color w:val="auto"/>
          <w:highlight w:val="none"/>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.1</w:t>
      </w:r>
      <w:r>
        <w:rPr>
          <w:rFonts w:hint="eastAsia" w:ascii="宋体"/>
          <w:bCs/>
          <w:color w:val="auto"/>
          <w:highlight w:val="none"/>
        </w:rPr>
        <w:tab/>
      </w:r>
      <w:r>
        <w:rPr>
          <w:rFonts w:hint="eastAsia" w:ascii="宋体"/>
          <w:bCs/>
          <w:color w:val="auto"/>
          <w:highlight w:val="none"/>
        </w:rPr>
        <w:t xml:space="preserve"> 投标人在</w:t>
      </w:r>
      <w:r>
        <w:rPr>
          <w:rFonts w:hint="eastAsia" w:ascii="宋体"/>
          <w:bCs/>
          <w:color w:val="auto"/>
          <w:highlight w:val="none"/>
          <w:lang w:val="en-US" w:eastAsia="zh-CN"/>
        </w:rPr>
        <w:t>投标</w:t>
      </w:r>
      <w:r>
        <w:rPr>
          <w:rFonts w:hint="eastAsia" w:ascii="宋体"/>
          <w:bCs/>
          <w:color w:val="auto"/>
          <w:highlight w:val="none"/>
        </w:rPr>
        <w:t>截止时间前，可以修改或撤回其投标文件。但必须在规定的</w:t>
      </w:r>
      <w:r>
        <w:rPr>
          <w:rFonts w:hint="eastAsia" w:ascii="宋体"/>
          <w:bCs/>
          <w:color w:val="auto"/>
          <w:highlight w:val="none"/>
          <w:lang w:val="en-US" w:eastAsia="zh-CN"/>
        </w:rPr>
        <w:t>投标</w:t>
      </w:r>
      <w:r>
        <w:rPr>
          <w:rFonts w:hint="eastAsia" w:ascii="宋体"/>
          <w:bCs/>
          <w:color w:val="auto"/>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.2</w:t>
      </w:r>
      <w:r>
        <w:rPr>
          <w:rFonts w:hint="eastAsia" w:ascii="宋体"/>
          <w:bCs/>
          <w:color w:val="auto"/>
          <w:highlight w:val="none"/>
        </w:rPr>
        <w:tab/>
      </w:r>
      <w:r>
        <w:rPr>
          <w:rFonts w:hint="eastAsia" w:ascii="宋体"/>
          <w:bCs/>
          <w:color w:val="auto"/>
          <w:highlight w:val="none"/>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.3</w:t>
      </w:r>
      <w:r>
        <w:rPr>
          <w:rFonts w:hint="eastAsia" w:ascii="宋体"/>
          <w:bCs/>
          <w:color w:val="auto"/>
          <w:highlight w:val="none"/>
        </w:rPr>
        <w:tab/>
      </w:r>
      <w:r>
        <w:rPr>
          <w:rFonts w:hint="eastAsia" w:ascii="宋体"/>
          <w:bCs/>
          <w:color w:val="auto"/>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.4</w:t>
      </w:r>
      <w:r>
        <w:rPr>
          <w:rFonts w:hint="eastAsia" w:ascii="宋体"/>
          <w:bCs/>
          <w:color w:val="auto"/>
          <w:highlight w:val="none"/>
        </w:rPr>
        <w:tab/>
      </w:r>
      <w:r>
        <w:rPr>
          <w:rFonts w:hint="eastAsia" w:ascii="宋体"/>
          <w:bCs/>
          <w:color w:val="auto"/>
          <w:highlight w:val="none"/>
        </w:rPr>
        <w:t>从投标截止时间至投标文件有效期期满之前，投标人不得撤回其投标文件，否则代理采购机构将按规定不予退还投标保证金。</w:t>
      </w:r>
    </w:p>
    <w:p>
      <w:pPr>
        <w:pStyle w:val="4"/>
        <w:numPr>
          <w:ilvl w:val="0"/>
          <w:numId w:val="0"/>
        </w:numPr>
        <w:rPr>
          <w:color w:val="auto"/>
          <w:sz w:val="24"/>
          <w:highlight w:val="none"/>
        </w:rPr>
      </w:pPr>
      <w:bookmarkStart w:id="1009" w:name="_Toc350438742"/>
      <w:bookmarkStart w:id="1010" w:name="_Toc331512891"/>
      <w:bookmarkStart w:id="1011" w:name="_Toc340677063"/>
      <w:bookmarkStart w:id="1012" w:name="_Toc365985172"/>
      <w:bookmarkStart w:id="1013" w:name="_Toc339362293"/>
      <w:bookmarkStart w:id="1014" w:name="_Toc330459978"/>
      <w:bookmarkStart w:id="1015" w:name="_Toc333935339"/>
      <w:bookmarkStart w:id="1016" w:name="_Toc341348331"/>
      <w:bookmarkStart w:id="1017" w:name="_Toc503785422"/>
      <w:bookmarkStart w:id="1018" w:name="_Toc336681928"/>
      <w:bookmarkStart w:id="1019" w:name="_Toc332270339"/>
      <w:bookmarkStart w:id="1020" w:name="_Toc339020008"/>
      <w:bookmarkStart w:id="1021" w:name="_Toc345513860"/>
      <w:bookmarkStart w:id="1022" w:name="_Toc340507435"/>
      <w:bookmarkStart w:id="1023" w:name="_Toc333935680"/>
      <w:bookmarkStart w:id="1024" w:name="_Toc342060367"/>
      <w:bookmarkStart w:id="1025" w:name="_Toc350756443"/>
      <w:bookmarkStart w:id="1026" w:name="_Toc365967066"/>
      <w:bookmarkStart w:id="1027" w:name="_Toc340672862"/>
      <w:bookmarkStart w:id="1028" w:name="_Toc336681573"/>
      <w:bookmarkStart w:id="1029" w:name="_Toc333237781"/>
      <w:bookmarkStart w:id="1030" w:name="_Toc333238626"/>
      <w:bookmarkStart w:id="1031" w:name="_Toc333237670"/>
      <w:bookmarkStart w:id="1032" w:name="_Toc339020088"/>
      <w:bookmarkStart w:id="1033" w:name="_Toc332206701"/>
      <w:bookmarkStart w:id="1034" w:name="_Toc339441080"/>
      <w:bookmarkStart w:id="1035" w:name="_Toc331684031"/>
      <w:bookmarkStart w:id="1036" w:name="_Toc339020226"/>
      <w:bookmarkStart w:id="1037" w:name="_Toc339019882"/>
      <w:bookmarkStart w:id="1038" w:name="_Toc337632351"/>
      <w:bookmarkStart w:id="1039" w:name="_Toc497224220"/>
      <w:bookmarkStart w:id="1040" w:name="_Toc349143582"/>
      <w:bookmarkStart w:id="1041" w:name="_Toc374454593"/>
      <w:bookmarkStart w:id="1042" w:name="_Toc342296753"/>
      <w:bookmarkStart w:id="1043" w:name="_Toc349127619"/>
      <w:bookmarkStart w:id="1044" w:name="_Toc366072521"/>
      <w:r>
        <w:rPr>
          <w:color w:val="auto"/>
          <w:sz w:val="24"/>
          <w:highlight w:val="none"/>
        </w:rPr>
        <w:br w:type="page"/>
      </w:r>
      <w:bookmarkStart w:id="1045" w:name="_Toc5362"/>
      <w:r>
        <w:rPr>
          <w:rFonts w:hint="eastAsia"/>
          <w:color w:val="auto"/>
          <w:sz w:val="24"/>
          <w:highlight w:val="none"/>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6"/>
        <w:numPr>
          <w:ilvl w:val="4"/>
          <w:numId w:val="24"/>
        </w:numPr>
        <w:tabs>
          <w:tab w:val="left" w:pos="720"/>
        </w:tabs>
        <w:spacing w:before="240" w:after="120"/>
        <w:ind w:left="2432" w:hanging="2432"/>
        <w:rPr>
          <w:color w:val="auto"/>
          <w:highlight w:val="none"/>
        </w:rPr>
      </w:pPr>
      <w:bookmarkStart w:id="1046" w:name="_Toc333935340"/>
      <w:bookmarkStart w:id="1047" w:name="_Toc366072522"/>
      <w:bookmarkStart w:id="1048" w:name="_Toc331512892"/>
      <w:bookmarkStart w:id="1049" w:name="_Toc339020009"/>
      <w:bookmarkStart w:id="1050" w:name="_Toc337632352"/>
      <w:bookmarkStart w:id="1051" w:name="_Toc332270340"/>
      <w:bookmarkStart w:id="1052" w:name="_Toc374454594"/>
      <w:bookmarkStart w:id="1053" w:name="_Toc340672863"/>
      <w:bookmarkStart w:id="1054" w:name="_Toc341348332"/>
      <w:bookmarkStart w:id="1055" w:name="_Toc340507436"/>
      <w:bookmarkStart w:id="1056" w:name="_Toc342060368"/>
      <w:bookmarkStart w:id="1057" w:name="_Toc333238627"/>
      <w:bookmarkStart w:id="1058" w:name="_Toc331684032"/>
      <w:bookmarkStart w:id="1059" w:name="_Toc339020089"/>
      <w:bookmarkStart w:id="1060" w:name="_Toc497224221"/>
      <w:bookmarkStart w:id="1061" w:name="_Toc339019883"/>
      <w:bookmarkStart w:id="1062" w:name="_Toc333935681"/>
      <w:bookmarkStart w:id="1063" w:name="_Toc345513861"/>
      <w:bookmarkStart w:id="1064" w:name="_Toc342296754"/>
      <w:bookmarkStart w:id="1065" w:name="_Toc503785423"/>
      <w:bookmarkStart w:id="1066" w:name="_Toc365967067"/>
      <w:bookmarkStart w:id="1067" w:name="_Toc336681929"/>
      <w:bookmarkStart w:id="1068" w:name="_Toc332206702"/>
      <w:bookmarkStart w:id="1069" w:name="_Toc350756444"/>
      <w:bookmarkStart w:id="1070" w:name="_Toc339441081"/>
      <w:bookmarkStart w:id="1071" w:name="_Toc333237782"/>
      <w:bookmarkStart w:id="1072" w:name="_Toc330459979"/>
      <w:bookmarkStart w:id="1073" w:name="_Toc339020227"/>
      <w:bookmarkStart w:id="1074" w:name="_Toc340677064"/>
      <w:bookmarkStart w:id="1075" w:name="_Toc349127620"/>
      <w:bookmarkStart w:id="1076" w:name="_Toc333237671"/>
      <w:bookmarkStart w:id="1077" w:name="_Toc349143583"/>
      <w:bookmarkStart w:id="1078" w:name="_Toc339362294"/>
      <w:bookmarkStart w:id="1079" w:name="_Toc350438743"/>
      <w:bookmarkStart w:id="1080" w:name="_Toc365985173"/>
      <w:bookmarkStart w:id="1081" w:name="_Toc336681574"/>
      <w:bookmarkStart w:id="1082" w:name="_Toc19163"/>
      <w:r>
        <w:rPr>
          <w:rFonts w:hint="eastAsia"/>
          <w:color w:val="auto"/>
          <w:highlight w:val="none"/>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.2</w:t>
      </w:r>
      <w:r>
        <w:rPr>
          <w:rFonts w:hint="eastAsia" w:ascii="宋体" w:hAnsi="宋体"/>
          <w:bCs/>
          <w:color w:val="auto"/>
          <w:highlight w:val="none"/>
        </w:rPr>
        <w:t xml:space="preserve"> </w:t>
      </w:r>
      <w:r>
        <w:rPr>
          <w:rFonts w:hint="eastAsia" w:ascii="宋体" w:hAnsi="宋体"/>
          <w:bCs/>
          <w:color w:val="auto"/>
          <w:highlight w:val="none"/>
        </w:rPr>
        <w:tab/>
      </w:r>
      <w:r>
        <w:rPr>
          <w:rFonts w:hint="eastAsia" w:ascii="宋体" w:hAnsi="宋体"/>
          <w:bCs/>
          <w:color w:val="auto"/>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21.4</w:t>
      </w:r>
      <w:r>
        <w:rPr>
          <w:rFonts w:hint="eastAsia" w:ascii="宋体" w:hAnsi="宋体"/>
          <w:bCs/>
          <w:color w:val="auto"/>
          <w:highlight w:val="none"/>
        </w:rPr>
        <w:tab/>
      </w:r>
      <w:r>
        <w:rPr>
          <w:rFonts w:hint="eastAsia" w:ascii="宋体" w:hAnsi="宋体"/>
          <w:bCs/>
          <w:color w:val="auto"/>
          <w:highlight w:val="none"/>
        </w:rPr>
        <w:t xml:space="preserve"> 唱标结束后，代理采购机构将做唱标记录，并按规定在唱标记录上签字。</w:t>
      </w:r>
    </w:p>
    <w:p>
      <w:pPr>
        <w:pStyle w:val="6"/>
        <w:numPr>
          <w:ilvl w:val="4"/>
          <w:numId w:val="24"/>
        </w:numPr>
        <w:tabs>
          <w:tab w:val="left" w:pos="720"/>
        </w:tabs>
        <w:spacing w:before="240" w:after="120"/>
        <w:ind w:left="752" w:hanging="751" w:hangingChars="358"/>
        <w:rPr>
          <w:rFonts w:ascii="宋体" w:hAnsi="宋体"/>
          <w:color w:val="auto"/>
          <w:highlight w:val="none"/>
        </w:rPr>
      </w:pPr>
      <w:bookmarkStart w:id="1083" w:name="_Toc349143584"/>
      <w:bookmarkStart w:id="1084" w:name="_Toc339441082"/>
      <w:bookmarkStart w:id="1085" w:name="_Toc339019884"/>
      <w:bookmarkStart w:id="1086" w:name="_Toc330459980"/>
      <w:bookmarkStart w:id="1087" w:name="_Toc333935341"/>
      <w:bookmarkStart w:id="1088" w:name="_Toc365985174"/>
      <w:bookmarkStart w:id="1089" w:name="_Toc331512893"/>
      <w:bookmarkStart w:id="1090" w:name="_Toc342296755"/>
      <w:bookmarkStart w:id="1091" w:name="_Toc350756445"/>
      <w:bookmarkStart w:id="1092" w:name="_Toc339020228"/>
      <w:bookmarkStart w:id="1093" w:name="_Toc336681575"/>
      <w:bookmarkStart w:id="1094" w:name="_Toc332270341"/>
      <w:bookmarkStart w:id="1095" w:name="_Toc342060369"/>
      <w:bookmarkStart w:id="1096" w:name="_Toc332206703"/>
      <w:bookmarkStart w:id="1097" w:name="_Toc339020010"/>
      <w:bookmarkStart w:id="1098" w:name="_Toc341348333"/>
      <w:bookmarkStart w:id="1099" w:name="_Toc366072523"/>
      <w:bookmarkStart w:id="1100" w:name="_Toc497224222"/>
      <w:bookmarkStart w:id="1101" w:name="_Toc340672864"/>
      <w:bookmarkStart w:id="1102" w:name="_Toc331684033"/>
      <w:bookmarkStart w:id="1103" w:name="_Toc349127621"/>
      <w:bookmarkStart w:id="1104" w:name="_Toc333237783"/>
      <w:bookmarkStart w:id="1105" w:name="_Toc339020090"/>
      <w:bookmarkStart w:id="1106" w:name="_Toc345513862"/>
      <w:bookmarkStart w:id="1107" w:name="_Toc337632353"/>
      <w:bookmarkStart w:id="1108" w:name="_Toc350438744"/>
      <w:bookmarkStart w:id="1109" w:name="_Toc340507437"/>
      <w:bookmarkStart w:id="1110" w:name="_Toc336681930"/>
      <w:bookmarkStart w:id="1111" w:name="_Toc374454595"/>
      <w:bookmarkStart w:id="1112" w:name="_Toc333237672"/>
      <w:bookmarkStart w:id="1113" w:name="_Toc339362295"/>
      <w:bookmarkStart w:id="1114" w:name="_Toc333238628"/>
      <w:bookmarkStart w:id="1115" w:name="_Toc333935682"/>
      <w:bookmarkStart w:id="1116" w:name="_Toc503785424"/>
      <w:bookmarkStart w:id="1117" w:name="_Toc340677065"/>
      <w:bookmarkStart w:id="1118" w:name="_Toc365967068"/>
      <w:bookmarkStart w:id="1119" w:name="_Toc28222"/>
      <w:r>
        <w:rPr>
          <w:rFonts w:hint="eastAsia"/>
          <w:color w:val="auto"/>
          <w:highlight w:val="none"/>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5"/>
        <w:rPr>
          <w:color w:val="auto"/>
          <w:highlight w:val="none"/>
        </w:rPr>
      </w:pPr>
      <w:r>
        <w:rPr>
          <w:rFonts w:hint="eastAsia" w:ascii="黑体" w:eastAsia="黑体"/>
          <w:bCs/>
          <w:color w:val="auto"/>
          <w:kern w:val="2"/>
          <w:sz w:val="21"/>
          <w:szCs w:val="24"/>
          <w:highlight w:val="none"/>
        </w:rPr>
        <w:t>详见第三部份《投标人须知〈投标人须知前附表〉》。</w:t>
      </w:r>
    </w:p>
    <w:p>
      <w:pPr>
        <w:pStyle w:val="6"/>
        <w:numPr>
          <w:ilvl w:val="4"/>
          <w:numId w:val="24"/>
        </w:numPr>
        <w:tabs>
          <w:tab w:val="left" w:pos="720"/>
        </w:tabs>
        <w:spacing w:before="240" w:after="120"/>
        <w:ind w:left="2432" w:hanging="2432"/>
        <w:rPr>
          <w:color w:val="auto"/>
          <w:highlight w:val="none"/>
        </w:rPr>
      </w:pPr>
      <w:bookmarkStart w:id="1120" w:name="_Toc333237784"/>
      <w:bookmarkStart w:id="1121" w:name="_Toc365985175"/>
      <w:bookmarkStart w:id="1122" w:name="_Toc339020011"/>
      <w:bookmarkStart w:id="1123" w:name="_Toc340507438"/>
      <w:bookmarkStart w:id="1124" w:name="_Toc497224223"/>
      <w:bookmarkStart w:id="1125" w:name="_Toc333238629"/>
      <w:bookmarkStart w:id="1126" w:name="_Toc339441083"/>
      <w:bookmarkStart w:id="1127" w:name="_Toc339020229"/>
      <w:bookmarkStart w:id="1128" w:name="_Toc342060370"/>
      <w:bookmarkStart w:id="1129" w:name="_Toc331512894"/>
      <w:bookmarkStart w:id="1130" w:name="_Toc330459981"/>
      <w:bookmarkStart w:id="1131" w:name="_Toc349143585"/>
      <w:bookmarkStart w:id="1132" w:name="_Toc345513863"/>
      <w:bookmarkStart w:id="1133" w:name="_Toc331684034"/>
      <w:bookmarkStart w:id="1134" w:name="_Toc337632354"/>
      <w:bookmarkStart w:id="1135" w:name="_Toc340672865"/>
      <w:bookmarkStart w:id="1136" w:name="_Toc339362296"/>
      <w:bookmarkStart w:id="1137" w:name="_Toc350756446"/>
      <w:bookmarkStart w:id="1138" w:name="_Toc366072524"/>
      <w:bookmarkStart w:id="1139" w:name="_Toc350438745"/>
      <w:bookmarkStart w:id="1140" w:name="_Toc339019885"/>
      <w:bookmarkStart w:id="1141" w:name="_Toc336681576"/>
      <w:bookmarkStart w:id="1142" w:name="_Toc341348334"/>
      <w:bookmarkStart w:id="1143" w:name="_Toc340677066"/>
      <w:bookmarkStart w:id="1144" w:name="_Toc332270342"/>
      <w:bookmarkStart w:id="1145" w:name="_Toc333237673"/>
      <w:bookmarkStart w:id="1146" w:name="_Toc332206704"/>
      <w:bookmarkStart w:id="1147" w:name="_Toc503785425"/>
      <w:bookmarkStart w:id="1148" w:name="_Toc336681931"/>
      <w:bookmarkStart w:id="1149" w:name="_Toc333935683"/>
      <w:bookmarkStart w:id="1150" w:name="_Toc365967069"/>
      <w:bookmarkStart w:id="1151" w:name="_Toc349127622"/>
      <w:bookmarkStart w:id="1152" w:name="_Toc342296756"/>
      <w:bookmarkStart w:id="1153" w:name="_Toc339020091"/>
      <w:bookmarkStart w:id="1154" w:name="_Toc333935342"/>
      <w:bookmarkStart w:id="1155" w:name="_Toc374454596"/>
      <w:bookmarkStart w:id="1156" w:name="_Toc27499"/>
      <w:r>
        <w:rPr>
          <w:rFonts w:hint="eastAsia"/>
          <w:color w:val="auto"/>
          <w:highlight w:val="none"/>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.1</w:t>
      </w:r>
      <w:r>
        <w:rPr>
          <w:rFonts w:hint="eastAsia" w:ascii="宋体"/>
          <w:bCs/>
          <w:color w:val="auto"/>
          <w:highlight w:val="none"/>
        </w:rPr>
        <w:tab/>
      </w:r>
      <w:r>
        <w:rPr>
          <w:rFonts w:hint="eastAsia" w:ascii="宋体"/>
          <w:bCs/>
          <w:color w:val="auto"/>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auto"/>
          <w:highlight w:val="none"/>
        </w:rPr>
      </w:pPr>
      <w:r>
        <w:rPr>
          <w:rFonts w:hint="eastAsia" w:ascii="宋体"/>
          <w:bCs/>
          <w:color w:val="auto"/>
          <w:highlight w:val="none"/>
        </w:rPr>
        <w:t xml:space="preserve">23.2   </w:t>
      </w:r>
      <w:r>
        <w:rPr>
          <w:rFonts w:hint="eastAsia" w:ascii="宋体" w:hAnsi="宋体"/>
          <w:color w:val="auto"/>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3</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auto"/>
          <w:highlight w:val="none"/>
          <w:lang w:val="en-US" w:eastAsia="zh-CN"/>
        </w:rPr>
        <w:t>是</w:t>
      </w:r>
      <w:r>
        <w:rPr>
          <w:rFonts w:hint="eastAsia" w:ascii="宋体"/>
          <w:bCs/>
          <w:color w:val="auto"/>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4</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 xml:space="preserve">5 </w:t>
      </w:r>
      <w:r>
        <w:rPr>
          <w:rFonts w:hint="eastAsia" w:ascii="宋体"/>
          <w:bCs/>
          <w:color w:val="auto"/>
          <w:highlight w:val="none"/>
        </w:rPr>
        <w:tab/>
      </w:r>
      <w:r>
        <w:rPr>
          <w:rFonts w:hint="eastAsia" w:ascii="宋体" w:hAnsi="宋体"/>
          <w:bCs/>
          <w:color w:val="auto"/>
          <w:highlight w:val="none"/>
        </w:rPr>
        <w:t>如果发现下列情况之一的，其投标将被拒绝而作无效投标处理：</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资格审查结果为不合格的；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投标人未提交投标保证金或投标保证金金额不足或无效的；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投标函</w:t>
      </w:r>
      <w:r>
        <w:rPr>
          <w:rFonts w:ascii="宋体" w:hAnsi="宋体"/>
          <w:bCs/>
          <w:color w:val="auto"/>
          <w:highlight w:val="none"/>
        </w:rPr>
        <w:t>未加盖</w:t>
      </w:r>
      <w:r>
        <w:rPr>
          <w:rFonts w:hint="eastAsia" w:ascii="宋体" w:hAnsi="宋体"/>
          <w:bCs/>
          <w:color w:val="auto"/>
          <w:highlight w:val="none"/>
        </w:rPr>
        <w:t>投标人</w:t>
      </w:r>
      <w:r>
        <w:rPr>
          <w:rFonts w:ascii="宋体" w:hAnsi="宋体"/>
          <w:bCs/>
          <w:color w:val="auto"/>
          <w:highlight w:val="none"/>
        </w:rPr>
        <w:t>公章</w:t>
      </w:r>
      <w:r>
        <w:rPr>
          <w:rFonts w:hint="eastAsia" w:ascii="宋体" w:hAnsi="宋体"/>
          <w:bCs/>
          <w:color w:val="auto"/>
          <w:highlight w:val="none"/>
        </w:rPr>
        <w:t>或</w:t>
      </w:r>
      <w:r>
        <w:rPr>
          <w:rFonts w:ascii="宋体" w:hAnsi="宋体"/>
          <w:bCs/>
          <w:color w:val="auto"/>
          <w:highlight w:val="none"/>
        </w:rPr>
        <w:t>未有</w:t>
      </w:r>
      <w:r>
        <w:rPr>
          <w:rFonts w:hint="eastAsia" w:ascii="宋体" w:hAnsi="宋体"/>
          <w:bCs/>
          <w:color w:val="auto"/>
          <w:highlight w:val="none"/>
        </w:rPr>
        <w:t>法定代表人（负责人）</w:t>
      </w:r>
      <w:r>
        <w:rPr>
          <w:rFonts w:ascii="宋体" w:hAnsi="宋体"/>
          <w:bCs/>
          <w:color w:val="auto"/>
          <w:highlight w:val="none"/>
        </w:rPr>
        <w:t>或者被授权人签名的；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未按招标文件规定格式填写或者字迹模糊不清的；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投标报价超出最高投标报价（预算价）上限的；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 xml:space="preserve">投标文件载明的招标项目完工期（服务期）超过招标文件规定的期限，或服务期不满足招标文件规定要求的； </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投标有效期不足的；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投标文件附有采购人或代理采购机构不能接受的条件的；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招标文件规定的其他实质性要求的；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法律、法规规定的其他废标条款。</w:t>
      </w:r>
    </w:p>
    <w:p>
      <w:pPr>
        <w:pStyle w:val="6"/>
        <w:numPr>
          <w:ilvl w:val="4"/>
          <w:numId w:val="24"/>
        </w:numPr>
        <w:tabs>
          <w:tab w:val="left" w:pos="720"/>
        </w:tabs>
        <w:spacing w:before="240" w:after="120"/>
        <w:ind w:left="2432" w:hanging="2432"/>
        <w:rPr>
          <w:color w:val="auto"/>
          <w:highlight w:val="none"/>
        </w:rPr>
      </w:pPr>
      <w:bookmarkStart w:id="1157" w:name="_Toc330459982"/>
      <w:bookmarkStart w:id="1158" w:name="_Toc333237674"/>
      <w:bookmarkStart w:id="1159" w:name="_Toc339441084"/>
      <w:bookmarkStart w:id="1160" w:name="_Toc342296757"/>
      <w:bookmarkStart w:id="1161" w:name="_Toc333238630"/>
      <w:bookmarkStart w:id="1162" w:name="_Toc337632355"/>
      <w:bookmarkStart w:id="1163" w:name="_Toc339362297"/>
      <w:bookmarkStart w:id="1164" w:name="_Toc336681577"/>
      <w:bookmarkStart w:id="1165" w:name="_Toc365985176"/>
      <w:bookmarkStart w:id="1166" w:name="_Toc332270343"/>
      <w:bookmarkStart w:id="1167" w:name="_Toc366072525"/>
      <w:bookmarkStart w:id="1168" w:name="_Toc339020092"/>
      <w:bookmarkStart w:id="1169" w:name="_Toc341348335"/>
      <w:bookmarkStart w:id="1170" w:name="_Toc333935343"/>
      <w:bookmarkStart w:id="1171" w:name="_Toc339020012"/>
      <w:bookmarkStart w:id="1172" w:name="_Toc336681932"/>
      <w:bookmarkStart w:id="1173" w:name="_Toc374454597"/>
      <w:bookmarkStart w:id="1174" w:name="_Toc333935684"/>
      <w:bookmarkStart w:id="1175" w:name="_Toc333237785"/>
      <w:bookmarkStart w:id="1176" w:name="_Toc349143586"/>
      <w:bookmarkStart w:id="1177" w:name="_Toc340672866"/>
      <w:bookmarkStart w:id="1178" w:name="_Toc332206705"/>
      <w:bookmarkStart w:id="1179" w:name="_Toc340507439"/>
      <w:bookmarkStart w:id="1180" w:name="_Toc365967070"/>
      <w:bookmarkStart w:id="1181" w:name="_Toc340677067"/>
      <w:bookmarkStart w:id="1182" w:name="_Toc331684035"/>
      <w:bookmarkStart w:id="1183" w:name="_Toc339020230"/>
      <w:bookmarkStart w:id="1184" w:name="_Toc339019886"/>
      <w:bookmarkStart w:id="1185" w:name="_Toc331512895"/>
      <w:bookmarkStart w:id="1186" w:name="_Toc349127623"/>
      <w:bookmarkStart w:id="1187" w:name="_Toc350438746"/>
      <w:bookmarkStart w:id="1188" w:name="_Toc345513864"/>
      <w:bookmarkStart w:id="1189" w:name="_Toc342060371"/>
      <w:bookmarkStart w:id="1190" w:name="_Toc350756447"/>
      <w:bookmarkStart w:id="1191" w:name="_Toc22993"/>
      <w:r>
        <w:rPr>
          <w:rFonts w:hint="eastAsia"/>
          <w:color w:val="auto"/>
          <w:highlight w:val="none"/>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 xml:space="preserve">24.1 </w:t>
      </w:r>
      <w:r>
        <w:rPr>
          <w:rFonts w:hint="eastAsia" w:ascii="宋体" w:hAnsi="宋体"/>
          <w:bCs/>
          <w:color w:val="auto"/>
          <w:highlight w:val="none"/>
        </w:rPr>
        <w:tab/>
      </w:r>
      <w:r>
        <w:rPr>
          <w:rFonts w:hint="eastAsia" w:ascii="宋体" w:hAnsi="宋体"/>
          <w:bCs/>
          <w:color w:val="auto"/>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auto"/>
          <w:highlight w:val="none"/>
        </w:rPr>
      </w:pPr>
      <w:r>
        <w:rPr>
          <w:rFonts w:hint="eastAsia" w:ascii="宋体" w:hAnsi="宋体"/>
          <w:bCs/>
          <w:color w:val="auto"/>
          <w:highlight w:val="none"/>
        </w:rPr>
        <w:t xml:space="preserve">24.2  </w:t>
      </w:r>
      <w:r>
        <w:rPr>
          <w:rFonts w:ascii="宋体" w:hAnsi="宋体"/>
          <w:bCs/>
          <w:color w:val="auto"/>
          <w:highlight w:val="none"/>
        </w:rPr>
        <w:t>（1）</w:t>
      </w:r>
      <w:r>
        <w:rPr>
          <w:rFonts w:hint="eastAsia" w:ascii="宋体" w:hAnsi="宋体"/>
          <w:bCs/>
          <w:color w:val="auto"/>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大写金额和小写金额不一致的，以大写金额为准;</w:t>
      </w:r>
    </w:p>
    <w:p>
      <w:pPr>
        <w:spacing w:line="360" w:lineRule="auto"/>
        <w:ind w:firstLine="735" w:firstLineChars="350"/>
        <w:jc w:val="left"/>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（4）</w:t>
      </w:r>
      <w:r>
        <w:rPr>
          <w:rFonts w:hint="eastAsia" w:ascii="宋体" w:hAnsi="宋体"/>
          <w:bCs/>
          <w:color w:val="auto"/>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auto"/>
          <w:highlight w:val="none"/>
        </w:rPr>
      </w:pPr>
      <w:r>
        <w:rPr>
          <w:rFonts w:ascii="宋体" w:hAnsi="宋体"/>
          <w:bCs/>
          <w:color w:val="auto"/>
          <w:highlight w:val="none"/>
        </w:rPr>
        <w:t>（5）</w:t>
      </w:r>
      <w:r>
        <w:rPr>
          <w:rFonts w:hint="eastAsia" w:ascii="宋体" w:hAnsi="宋体"/>
          <w:bCs/>
          <w:color w:val="auto"/>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4"/>
        </w:numPr>
        <w:tabs>
          <w:tab w:val="left" w:pos="720"/>
        </w:tabs>
        <w:spacing w:before="240" w:after="120"/>
        <w:ind w:left="2432" w:hanging="2432"/>
        <w:rPr>
          <w:color w:val="auto"/>
          <w:highlight w:val="none"/>
        </w:rPr>
      </w:pPr>
      <w:bookmarkStart w:id="1192" w:name="_Toc340672867"/>
      <w:bookmarkStart w:id="1193" w:name="_Toc333237786"/>
      <w:bookmarkStart w:id="1194" w:name="_Toc337632356"/>
      <w:bookmarkStart w:id="1195" w:name="_Toc330459983"/>
      <w:bookmarkStart w:id="1196" w:name="_Toc345513865"/>
      <w:bookmarkStart w:id="1197" w:name="_Toc332270344"/>
      <w:bookmarkStart w:id="1198" w:name="_Toc339362298"/>
      <w:bookmarkStart w:id="1199" w:name="_Toc342296758"/>
      <w:bookmarkStart w:id="1200" w:name="_Toc341348336"/>
      <w:bookmarkStart w:id="1201" w:name="_Toc365985177"/>
      <w:bookmarkStart w:id="1202" w:name="_Toc349127624"/>
      <w:bookmarkStart w:id="1203" w:name="_Toc339020093"/>
      <w:bookmarkStart w:id="1204" w:name="_Toc333237675"/>
      <w:bookmarkStart w:id="1205" w:name="_Toc336681933"/>
      <w:bookmarkStart w:id="1206" w:name="_Toc339441085"/>
      <w:bookmarkStart w:id="1207" w:name="_Toc331512896"/>
      <w:bookmarkStart w:id="1208" w:name="_Toc503785426"/>
      <w:bookmarkStart w:id="1209" w:name="_Toc350756448"/>
      <w:bookmarkStart w:id="1210" w:name="_Toc339019887"/>
      <w:bookmarkStart w:id="1211" w:name="_Toc339020013"/>
      <w:bookmarkStart w:id="1212" w:name="_Toc333935685"/>
      <w:bookmarkStart w:id="1213" w:name="_Toc332206706"/>
      <w:bookmarkStart w:id="1214" w:name="_Toc336681578"/>
      <w:bookmarkStart w:id="1215" w:name="_Toc374454598"/>
      <w:bookmarkStart w:id="1216" w:name="_Toc340507440"/>
      <w:bookmarkStart w:id="1217" w:name="_Toc350438747"/>
      <w:bookmarkStart w:id="1218" w:name="_Toc349143587"/>
      <w:bookmarkStart w:id="1219" w:name="_Toc342060372"/>
      <w:bookmarkStart w:id="1220" w:name="_Toc331684036"/>
      <w:bookmarkStart w:id="1221" w:name="_Toc366072526"/>
      <w:bookmarkStart w:id="1222" w:name="_Toc333238631"/>
      <w:bookmarkStart w:id="1223" w:name="_Toc339020231"/>
      <w:bookmarkStart w:id="1224" w:name="_Toc365967071"/>
      <w:bookmarkStart w:id="1225" w:name="_Toc333935344"/>
      <w:bookmarkStart w:id="1226" w:name="_Toc497224224"/>
      <w:bookmarkStart w:id="1227" w:name="_Toc340677068"/>
      <w:bookmarkStart w:id="1228" w:name="_Toc18696"/>
      <w:r>
        <w:rPr>
          <w:rFonts w:hint="eastAsia"/>
          <w:color w:val="auto"/>
          <w:highlight w:val="none"/>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5.</w:t>
      </w:r>
      <w:r>
        <w:rPr>
          <w:rFonts w:ascii="宋体"/>
          <w:bCs/>
          <w:color w:val="auto"/>
          <w:highlight w:val="none"/>
        </w:rPr>
        <w:t>1</w:t>
      </w:r>
      <w:r>
        <w:rPr>
          <w:rFonts w:hint="eastAsia" w:ascii="宋体"/>
          <w:bCs/>
          <w:color w:val="auto"/>
          <w:highlight w:val="none"/>
        </w:rPr>
        <w:tab/>
      </w:r>
      <w:r>
        <w:rPr>
          <w:rFonts w:hint="eastAsia" w:ascii="宋体"/>
          <w:bCs/>
          <w:color w:val="auto"/>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auto"/>
          <w:highlight w:val="none"/>
        </w:rPr>
      </w:pPr>
      <w:r>
        <w:rPr>
          <w:rFonts w:ascii="宋体"/>
          <w:color w:val="auto"/>
          <w:highlight w:val="none"/>
        </w:rPr>
        <w:t>2</w:t>
      </w:r>
      <w:r>
        <w:rPr>
          <w:rFonts w:hint="eastAsia" w:ascii="宋体"/>
          <w:color w:val="auto"/>
          <w:highlight w:val="none"/>
        </w:rPr>
        <w:t>5</w:t>
      </w:r>
      <w:r>
        <w:rPr>
          <w:rFonts w:ascii="宋体"/>
          <w:color w:val="auto"/>
          <w:highlight w:val="none"/>
        </w:rPr>
        <w:t>.2</w:t>
      </w:r>
      <w:r>
        <w:rPr>
          <w:rFonts w:hint="eastAsia" w:ascii="宋体"/>
          <w:color w:val="auto"/>
          <w:highlight w:val="none"/>
        </w:rPr>
        <w:t xml:space="preserve"> </w:t>
      </w:r>
      <w:r>
        <w:rPr>
          <w:rFonts w:hint="eastAsia" w:ascii="宋体"/>
          <w:color w:val="auto"/>
          <w:highlight w:val="none"/>
        </w:rPr>
        <w:tab/>
      </w:r>
      <w:r>
        <w:rPr>
          <w:rFonts w:hint="eastAsia" w:ascii="宋体"/>
          <w:color w:val="auto"/>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auto"/>
          <w:highlight w:val="none"/>
        </w:rPr>
      </w:pPr>
      <w:r>
        <w:rPr>
          <w:rFonts w:hint="eastAsia" w:ascii="宋体" w:hAnsi="宋体"/>
          <w:color w:val="auto"/>
          <w:highlight w:val="none"/>
        </w:rPr>
        <w:t>25.3</w:t>
      </w:r>
      <w:r>
        <w:rPr>
          <w:rFonts w:hint="eastAsia"/>
          <w:color w:val="auto"/>
          <w:highlight w:val="none"/>
        </w:rPr>
        <w:tab/>
      </w:r>
      <w:r>
        <w:rPr>
          <w:rFonts w:hint="eastAsia" w:cs="Arial Unicode MS"/>
          <w:color w:val="auto"/>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4"/>
        </w:numPr>
        <w:tabs>
          <w:tab w:val="left" w:pos="720"/>
        </w:tabs>
        <w:spacing w:before="240" w:after="120"/>
        <w:ind w:left="2432" w:hanging="2432"/>
        <w:rPr>
          <w:color w:val="auto"/>
          <w:highlight w:val="none"/>
        </w:rPr>
      </w:pPr>
      <w:bookmarkStart w:id="1229" w:name="_Toc333935345"/>
      <w:bookmarkStart w:id="1230" w:name="_Toc336681579"/>
      <w:bookmarkStart w:id="1231" w:name="_Toc374454599"/>
      <w:bookmarkStart w:id="1232" w:name="_Toc340672868"/>
      <w:bookmarkStart w:id="1233" w:name="_Toc342060373"/>
      <w:bookmarkStart w:id="1234" w:name="_Toc349143588"/>
      <w:bookmarkStart w:id="1235" w:name="_Toc339020094"/>
      <w:bookmarkStart w:id="1236" w:name="_Toc333935686"/>
      <w:bookmarkStart w:id="1237" w:name="_Toc349127625"/>
      <w:bookmarkStart w:id="1238" w:name="_Toc365985178"/>
      <w:bookmarkStart w:id="1239" w:name="_Toc350756449"/>
      <w:bookmarkStart w:id="1240" w:name="_Toc339441086"/>
      <w:bookmarkStart w:id="1241" w:name="_Toc350438748"/>
      <w:bookmarkStart w:id="1242" w:name="_Toc339020014"/>
      <w:bookmarkStart w:id="1243" w:name="_Toc340677069"/>
      <w:bookmarkStart w:id="1244" w:name="_Toc339019888"/>
      <w:bookmarkStart w:id="1245" w:name="_Toc336681934"/>
      <w:bookmarkStart w:id="1246" w:name="_Toc331684037"/>
      <w:bookmarkStart w:id="1247" w:name="_Toc342296759"/>
      <w:bookmarkStart w:id="1248" w:name="_Toc345513866"/>
      <w:bookmarkStart w:id="1249" w:name="_Toc332270345"/>
      <w:bookmarkStart w:id="1250" w:name="_Toc333237787"/>
      <w:bookmarkStart w:id="1251" w:name="_Toc333238632"/>
      <w:bookmarkStart w:id="1252" w:name="_Toc330459984"/>
      <w:bookmarkStart w:id="1253" w:name="_Toc332206707"/>
      <w:bookmarkStart w:id="1254" w:name="_Toc339020232"/>
      <w:bookmarkStart w:id="1255" w:name="_Toc365967072"/>
      <w:bookmarkStart w:id="1256" w:name="_Toc337632357"/>
      <w:bookmarkStart w:id="1257" w:name="_Toc341348337"/>
      <w:bookmarkStart w:id="1258" w:name="_Toc366072527"/>
      <w:bookmarkStart w:id="1259" w:name="_Toc331512897"/>
      <w:bookmarkStart w:id="1260" w:name="_Toc339362299"/>
      <w:bookmarkStart w:id="1261" w:name="_Toc333237676"/>
      <w:bookmarkStart w:id="1262" w:name="_Toc340507441"/>
      <w:bookmarkStart w:id="1263" w:name="_Toc18332"/>
      <w:r>
        <w:rPr>
          <w:rFonts w:hint="eastAsia"/>
          <w:color w:val="auto"/>
          <w:highlight w:val="none"/>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6</w:t>
      </w:r>
      <w:r>
        <w:rPr>
          <w:rFonts w:ascii="宋体"/>
          <w:bCs/>
          <w:color w:val="auto"/>
          <w:highlight w:val="none"/>
        </w:rPr>
        <w:t>.1</w:t>
      </w:r>
      <w:r>
        <w:rPr>
          <w:rFonts w:hint="eastAsia" w:ascii="宋体"/>
          <w:bCs/>
          <w:color w:val="auto"/>
          <w:highlight w:val="none"/>
        </w:rPr>
        <w:t xml:space="preserve"> </w:t>
      </w:r>
      <w:r>
        <w:rPr>
          <w:rFonts w:hint="eastAsia" w:ascii="宋体"/>
          <w:bCs/>
          <w:color w:val="auto"/>
          <w:highlight w:val="none"/>
        </w:rPr>
        <w:tab/>
      </w:r>
      <w:r>
        <w:rPr>
          <w:rFonts w:hint="eastAsia" w:ascii="宋体"/>
          <w:bCs/>
          <w:color w:val="auto"/>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26.2</w:t>
      </w:r>
      <w:r>
        <w:rPr>
          <w:rFonts w:hint="eastAsia" w:ascii="宋体"/>
          <w:bCs/>
          <w:color w:val="auto"/>
          <w:highlight w:val="none"/>
        </w:rPr>
        <w:tab/>
      </w:r>
      <w:r>
        <w:rPr>
          <w:rFonts w:hint="eastAsia" w:ascii="宋体"/>
          <w:bCs/>
          <w:color w:val="auto"/>
          <w:highlight w:val="none"/>
        </w:rPr>
        <w:t>坚持公平、公正、科学和择优原则。</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26.3</w:t>
      </w:r>
      <w:r>
        <w:rPr>
          <w:rFonts w:hint="eastAsia" w:ascii="宋体"/>
          <w:bCs/>
          <w:color w:val="auto"/>
          <w:highlight w:val="none"/>
        </w:rPr>
        <w:tab/>
      </w:r>
      <w:r>
        <w:rPr>
          <w:rFonts w:hint="eastAsia" w:ascii="宋体"/>
          <w:bCs/>
          <w:color w:val="auto"/>
          <w:highlight w:val="none"/>
        </w:rPr>
        <w:t>实行科学评估、集体决策。</w:t>
      </w:r>
    </w:p>
    <w:p>
      <w:pPr>
        <w:pStyle w:val="6"/>
        <w:numPr>
          <w:ilvl w:val="4"/>
          <w:numId w:val="24"/>
        </w:numPr>
        <w:tabs>
          <w:tab w:val="left" w:pos="720"/>
        </w:tabs>
        <w:spacing w:before="240" w:after="120"/>
        <w:ind w:left="2432" w:hanging="2432"/>
        <w:rPr>
          <w:color w:val="auto"/>
          <w:highlight w:val="none"/>
        </w:rPr>
      </w:pPr>
      <w:bookmarkStart w:id="1264" w:name="_Toc339020233"/>
      <w:bookmarkStart w:id="1265" w:name="_Toc345513867"/>
      <w:bookmarkStart w:id="1266" w:name="_Toc366072528"/>
      <w:bookmarkStart w:id="1267" w:name="_Toc336681580"/>
      <w:bookmarkStart w:id="1268" w:name="_Toc339020095"/>
      <w:bookmarkStart w:id="1269" w:name="_Toc333935687"/>
      <w:bookmarkStart w:id="1270" w:name="_Toc365967073"/>
      <w:bookmarkStart w:id="1271" w:name="_Toc342060374"/>
      <w:bookmarkStart w:id="1272" w:name="_Toc339362300"/>
      <w:bookmarkStart w:id="1273" w:name="_Toc333238633"/>
      <w:bookmarkStart w:id="1274" w:name="_Toc340677070"/>
      <w:bookmarkStart w:id="1275" w:name="_Toc333237788"/>
      <w:bookmarkStart w:id="1276" w:name="_Toc349143589"/>
      <w:bookmarkStart w:id="1277" w:name="_Toc339441087"/>
      <w:bookmarkStart w:id="1278" w:name="_Toc339020015"/>
      <w:bookmarkStart w:id="1279" w:name="_Toc331512898"/>
      <w:bookmarkStart w:id="1280" w:name="_Toc374454600"/>
      <w:bookmarkStart w:id="1281" w:name="_Toc332270346"/>
      <w:bookmarkStart w:id="1282" w:name="_Toc341348338"/>
      <w:bookmarkStart w:id="1283" w:name="_Toc350438749"/>
      <w:bookmarkStart w:id="1284" w:name="_Toc333237677"/>
      <w:bookmarkStart w:id="1285" w:name="_Toc340672869"/>
      <w:bookmarkStart w:id="1286" w:name="_Toc349127626"/>
      <w:bookmarkStart w:id="1287" w:name="_Toc333935346"/>
      <w:bookmarkStart w:id="1288" w:name="_Toc332206708"/>
      <w:bookmarkStart w:id="1289" w:name="_Toc350756450"/>
      <w:bookmarkStart w:id="1290" w:name="_Toc340507442"/>
      <w:bookmarkStart w:id="1291" w:name="_Toc330459985"/>
      <w:bookmarkStart w:id="1292" w:name="_Toc337632358"/>
      <w:bookmarkStart w:id="1293" w:name="_Toc339019889"/>
      <w:bookmarkStart w:id="1294" w:name="_Toc331684038"/>
      <w:bookmarkStart w:id="1295" w:name="_Toc365985179"/>
      <w:bookmarkStart w:id="1296" w:name="_Toc336681935"/>
      <w:bookmarkStart w:id="1297" w:name="_Toc342296760"/>
      <w:bookmarkStart w:id="1298" w:name="_Toc13544"/>
      <w:r>
        <w:rPr>
          <w:rFonts w:hint="eastAsia"/>
          <w:color w:val="auto"/>
          <w:highlight w:val="none"/>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auto"/>
          <w:highlight w:val="none"/>
        </w:rPr>
      </w:pPr>
      <w:r>
        <w:rPr>
          <w:rFonts w:hint="eastAsia" w:hAnsi="宋体"/>
          <w:bCs/>
          <w:color w:val="auto"/>
          <w:highlight w:val="none"/>
        </w:rPr>
        <w:t>27.1</w:t>
      </w:r>
      <w:r>
        <w:rPr>
          <w:rFonts w:hint="eastAsia" w:hAnsi="宋体"/>
          <w:bCs/>
          <w:color w:val="auto"/>
          <w:highlight w:val="none"/>
        </w:rPr>
        <w:tab/>
      </w:r>
      <w:r>
        <w:rPr>
          <w:rFonts w:hint="eastAsia" w:hAnsi="宋体"/>
          <w:bCs/>
          <w:color w:val="auto"/>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auto"/>
          <w:highlight w:val="none"/>
        </w:rPr>
      </w:pPr>
      <w:r>
        <w:rPr>
          <w:rFonts w:hint="eastAsia" w:hAnsi="宋体"/>
          <w:bCs/>
          <w:color w:val="auto"/>
          <w:highlight w:val="none"/>
        </w:rPr>
        <w:t>27</w:t>
      </w:r>
      <w:r>
        <w:rPr>
          <w:rFonts w:hAnsi="宋体"/>
          <w:bCs/>
          <w:color w:val="auto"/>
          <w:highlight w:val="none"/>
        </w:rPr>
        <w:t>.2</w:t>
      </w:r>
      <w:r>
        <w:rPr>
          <w:rFonts w:hint="eastAsia" w:hAnsi="宋体"/>
          <w:bCs/>
          <w:color w:val="auto"/>
          <w:highlight w:val="none"/>
        </w:rPr>
        <w:tab/>
      </w:r>
      <w:bookmarkStart w:id="1299" w:name="_Toc500953375"/>
      <w:bookmarkStart w:id="1300" w:name="_Toc497707712"/>
      <w:bookmarkStart w:id="1301" w:name="_Toc500861023"/>
      <w:r>
        <w:rPr>
          <w:rFonts w:hint="eastAsia" w:hAnsi="宋体"/>
          <w:bCs/>
          <w:color w:val="auto"/>
          <w:highlight w:val="none"/>
        </w:rPr>
        <w:t>采用计分法（综合评价法）来确定各投标人的排名。其操作程序为：</w:t>
      </w:r>
      <w:r>
        <w:rPr>
          <w:rFonts w:hint="eastAsia" w:hAnsi="宋体"/>
          <w:b/>
          <w:color w:val="auto"/>
          <w:highlight w:val="none"/>
        </w:rPr>
        <w:t>详见H评标细则。</w:t>
      </w:r>
    </w:p>
    <w:p>
      <w:pPr>
        <w:pStyle w:val="6"/>
        <w:numPr>
          <w:ilvl w:val="4"/>
          <w:numId w:val="24"/>
        </w:numPr>
        <w:tabs>
          <w:tab w:val="left" w:pos="720"/>
        </w:tabs>
        <w:spacing w:before="240" w:after="120"/>
        <w:ind w:left="2432" w:hanging="2432"/>
        <w:rPr>
          <w:color w:val="auto"/>
          <w:highlight w:val="none"/>
        </w:rPr>
      </w:pPr>
      <w:bookmarkStart w:id="1302" w:name="_Toc366072529"/>
      <w:bookmarkStart w:id="1303" w:name="_Toc327367761"/>
      <w:bookmarkStart w:id="1304" w:name="_Toc327368025"/>
      <w:bookmarkStart w:id="1305" w:name="_Toc2265"/>
      <w:bookmarkStart w:id="1306" w:name="_Toc333238634"/>
      <w:bookmarkStart w:id="1307" w:name="_Toc331684039"/>
      <w:bookmarkStart w:id="1308" w:name="_Toc337632359"/>
      <w:bookmarkStart w:id="1309" w:name="_Toc332270347"/>
      <w:bookmarkStart w:id="1310" w:name="_Toc340677071"/>
      <w:bookmarkStart w:id="1311" w:name="_Toc336681936"/>
      <w:bookmarkStart w:id="1312" w:name="_Toc336681581"/>
      <w:bookmarkStart w:id="1313" w:name="_Toc331512899"/>
      <w:bookmarkStart w:id="1314" w:name="_Toc339020096"/>
      <w:bookmarkStart w:id="1315" w:name="_Toc333237678"/>
      <w:bookmarkStart w:id="1316" w:name="_Toc339362301"/>
      <w:bookmarkStart w:id="1317" w:name="_Toc339441088"/>
      <w:bookmarkStart w:id="1318" w:name="_Toc333935688"/>
      <w:bookmarkStart w:id="1319" w:name="_Toc332206709"/>
      <w:bookmarkStart w:id="1320" w:name="_Toc340672870"/>
      <w:bookmarkStart w:id="1321" w:name="_Toc339020234"/>
      <w:bookmarkStart w:id="1322" w:name="_Toc339020016"/>
      <w:bookmarkStart w:id="1323" w:name="_Toc345513902"/>
      <w:bookmarkStart w:id="1324" w:name="_Toc341348339"/>
      <w:bookmarkStart w:id="1325" w:name="_Toc333935347"/>
      <w:bookmarkStart w:id="1326" w:name="_Toc339019890"/>
      <w:bookmarkStart w:id="1327" w:name="_Toc333237789"/>
      <w:bookmarkStart w:id="1328" w:name="_Toc342060375"/>
      <w:bookmarkStart w:id="1329" w:name="_Toc330459986"/>
      <w:bookmarkStart w:id="1330" w:name="_Toc342296761"/>
      <w:bookmarkStart w:id="1331" w:name="_Toc340507443"/>
      <w:r>
        <w:rPr>
          <w:rFonts w:hint="eastAsia"/>
          <w:color w:val="auto"/>
          <w:highlight w:val="none"/>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auto"/>
          <w:highlight w:val="none"/>
        </w:rPr>
      </w:pPr>
      <w:bookmarkStart w:id="1332" w:name="_Toc491658680"/>
      <w:bookmarkStart w:id="1333" w:name="_Toc6727972"/>
      <w:bookmarkStart w:id="1334" w:name="_Toc26066260"/>
      <w:bookmarkStart w:id="1335" w:name="_Toc6397151"/>
      <w:bookmarkStart w:id="1336" w:name="_Toc500861027"/>
      <w:r>
        <w:rPr>
          <w:rFonts w:hint="eastAsia" w:ascii="宋体" w:hAnsi="宋体"/>
          <w:bCs/>
          <w:color w:val="auto"/>
          <w:highlight w:val="none"/>
        </w:rPr>
        <w:t>28.1</w:t>
      </w:r>
      <w:r>
        <w:rPr>
          <w:rFonts w:hint="eastAsia" w:ascii="宋体" w:hAnsi="宋体"/>
          <w:bCs/>
          <w:color w:val="auto"/>
          <w:highlight w:val="none"/>
        </w:rPr>
        <w:tab/>
      </w:r>
      <w:r>
        <w:rPr>
          <w:rFonts w:hint="eastAsia" w:ascii="宋体" w:hAnsi="宋体"/>
          <w:bCs/>
          <w:color w:val="auto"/>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28.2 </w:t>
      </w:r>
      <w:r>
        <w:rPr>
          <w:rFonts w:hint="eastAsia" w:ascii="宋体" w:hAnsi="宋体"/>
          <w:bCs/>
          <w:color w:val="auto"/>
          <w:highlight w:val="none"/>
        </w:rPr>
        <w:tab/>
      </w:r>
      <w:r>
        <w:rPr>
          <w:rFonts w:hint="eastAsia" w:ascii="宋体" w:hAnsi="宋体"/>
          <w:bCs/>
          <w:color w:val="auto"/>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28.3</w:t>
      </w:r>
      <w:r>
        <w:rPr>
          <w:rFonts w:hint="eastAsia" w:ascii="宋体" w:hAnsi="宋体"/>
          <w:bCs/>
          <w:color w:val="auto"/>
          <w:highlight w:val="none"/>
        </w:rPr>
        <w:tab/>
      </w:r>
      <w:r>
        <w:rPr>
          <w:rFonts w:hint="eastAsia" w:ascii="宋体" w:hAnsi="宋体"/>
          <w:bCs/>
          <w:color w:val="auto"/>
          <w:highlight w:val="none"/>
        </w:rPr>
        <w:t>在招标工作结束后，评标委员会成员和参与评标的有关工作人员不得透露与评标有关的情况。</w:t>
      </w:r>
    </w:p>
    <w:p>
      <w:pPr>
        <w:pStyle w:val="6"/>
        <w:numPr>
          <w:ilvl w:val="4"/>
          <w:numId w:val="24"/>
        </w:numPr>
        <w:tabs>
          <w:tab w:val="left" w:pos="720"/>
        </w:tabs>
        <w:spacing w:before="240" w:after="120"/>
        <w:ind w:left="2432" w:hanging="2432"/>
        <w:rPr>
          <w:color w:val="auto"/>
          <w:highlight w:val="none"/>
        </w:rPr>
      </w:pPr>
      <w:bookmarkStart w:id="1337" w:name="_Toc337632360"/>
      <w:bookmarkStart w:id="1338" w:name="_Toc331512900"/>
      <w:bookmarkStart w:id="1339" w:name="_Toc333935348"/>
      <w:bookmarkStart w:id="1340" w:name="_Toc366072530"/>
      <w:bookmarkStart w:id="1341" w:name="_Toc350756452"/>
      <w:bookmarkStart w:id="1342" w:name="_Toc332206710"/>
      <w:bookmarkStart w:id="1343" w:name="_Toc330459987"/>
      <w:bookmarkStart w:id="1344" w:name="_Toc350438751"/>
      <w:bookmarkStart w:id="1345" w:name="_Toc345513903"/>
      <w:bookmarkStart w:id="1346" w:name="_Toc339019891"/>
      <w:bookmarkStart w:id="1347" w:name="_Toc340677072"/>
      <w:bookmarkStart w:id="1348" w:name="_Toc349127628"/>
      <w:bookmarkStart w:id="1349" w:name="_Toc336681582"/>
      <w:bookmarkStart w:id="1350" w:name="_Toc341348340"/>
      <w:bookmarkStart w:id="1351" w:name="_Toc333237790"/>
      <w:bookmarkStart w:id="1352" w:name="_Toc365985180"/>
      <w:bookmarkStart w:id="1353" w:name="_Toc365967074"/>
      <w:bookmarkStart w:id="1354" w:name="_Toc349143591"/>
      <w:bookmarkStart w:id="1355" w:name="_Toc342296762"/>
      <w:bookmarkStart w:id="1356" w:name="_Toc333935689"/>
      <w:bookmarkStart w:id="1357" w:name="_Toc339020017"/>
      <w:bookmarkStart w:id="1358" w:name="_Toc333237679"/>
      <w:bookmarkStart w:id="1359" w:name="_Toc333238635"/>
      <w:bookmarkStart w:id="1360" w:name="_Toc340507444"/>
      <w:bookmarkStart w:id="1361" w:name="_Toc331684040"/>
      <w:bookmarkStart w:id="1362" w:name="_Toc332270348"/>
      <w:bookmarkStart w:id="1363" w:name="_Toc339020235"/>
      <w:bookmarkStart w:id="1364" w:name="_Toc342060376"/>
      <w:bookmarkStart w:id="1365" w:name="_Toc339020097"/>
      <w:bookmarkStart w:id="1366" w:name="_Toc339362302"/>
      <w:bookmarkStart w:id="1367" w:name="_Toc336681937"/>
      <w:bookmarkStart w:id="1368" w:name="_Toc340672871"/>
      <w:bookmarkStart w:id="1369" w:name="_Toc374454602"/>
      <w:bookmarkStart w:id="1370" w:name="_Toc339441089"/>
      <w:bookmarkStart w:id="1371" w:name="_Toc29879"/>
      <w:r>
        <w:rPr>
          <w:rFonts w:hint="eastAsia"/>
          <w:color w:val="auto"/>
          <w:highlight w:val="none"/>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29.2</w:t>
      </w:r>
      <w:r>
        <w:rPr>
          <w:rFonts w:hint="eastAsia" w:ascii="宋体" w:hAnsi="宋体"/>
          <w:bCs/>
          <w:color w:val="auto"/>
          <w:highlight w:val="none"/>
        </w:rPr>
        <w:tab/>
      </w:r>
      <w:r>
        <w:rPr>
          <w:rFonts w:hint="eastAsia" w:ascii="宋体" w:hAnsi="宋体"/>
          <w:bCs/>
          <w:color w:val="auto"/>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4"/>
        </w:numPr>
        <w:tabs>
          <w:tab w:val="left" w:pos="720"/>
        </w:tabs>
        <w:spacing w:before="240" w:after="120"/>
        <w:ind w:left="2432" w:hanging="2432"/>
        <w:rPr>
          <w:color w:val="auto"/>
          <w:highlight w:val="none"/>
        </w:rPr>
      </w:pPr>
      <w:bookmarkStart w:id="1372" w:name="_Toc374454603"/>
      <w:bookmarkStart w:id="1373" w:name="_Toc366072531"/>
      <w:bookmarkStart w:id="1374" w:name="_Toc2172"/>
      <w:r>
        <w:rPr>
          <w:rFonts w:hint="eastAsia"/>
          <w:color w:val="auto"/>
          <w:highlight w:val="none"/>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375" w:name="_Toc366072532"/>
      <w:r>
        <w:rPr>
          <w:rFonts w:hint="eastAsia" w:ascii="宋体" w:hAnsi="宋体"/>
          <w:color w:val="auto"/>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30.2   中标投标人确认后，中标结果将于指定媒体上公告(</w:t>
      </w:r>
      <w:r>
        <w:rPr>
          <w:rFonts w:hint="eastAsia" w:ascii="黑体" w:eastAsia="黑体"/>
          <w:bCs/>
          <w:color w:val="auto"/>
          <w:highlight w:val="none"/>
        </w:rPr>
        <w:t>详见第三部份《投标人须知〈投标人须知前附表〉》</w:t>
      </w:r>
      <w:r>
        <w:rPr>
          <w:rFonts w:hint="eastAsia" w:ascii="宋体" w:hAnsi="宋体"/>
          <w:color w:val="auto"/>
          <w:highlight w:val="none"/>
        </w:rPr>
        <w:t>)</w:t>
      </w:r>
      <w:r>
        <w:rPr>
          <w:rFonts w:hint="eastAsia" w:ascii="宋体" w:hAnsi="宋体"/>
          <w:color w:val="auto"/>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30.4   中标通知书发出后，采购人改变中标结果，或者中标投标人放弃中标，应当承担相应的法律责任。</w:t>
      </w:r>
    </w:p>
    <w:p>
      <w:pPr>
        <w:pStyle w:val="6"/>
        <w:numPr>
          <w:ilvl w:val="4"/>
          <w:numId w:val="24"/>
        </w:numPr>
        <w:tabs>
          <w:tab w:val="left" w:pos="720"/>
        </w:tabs>
        <w:spacing w:before="240" w:after="120"/>
        <w:ind w:left="2432" w:hanging="2432"/>
        <w:rPr>
          <w:color w:val="auto"/>
          <w:highlight w:val="none"/>
        </w:rPr>
      </w:pPr>
      <w:bookmarkStart w:id="1376" w:name="_Toc374454604"/>
      <w:bookmarkStart w:id="1377" w:name="_Toc23493"/>
      <w:r>
        <w:rPr>
          <w:rFonts w:hint="eastAsia"/>
          <w:color w:val="auto"/>
          <w:highlight w:val="none"/>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378" w:name="_Toc333238638"/>
      <w:bookmarkStart w:id="1379" w:name="_Toc339020238"/>
      <w:bookmarkStart w:id="1380" w:name="_Toc336681585"/>
      <w:bookmarkStart w:id="1381" w:name="_Toc350756455"/>
      <w:bookmarkStart w:id="1382" w:name="_Toc365985183"/>
      <w:bookmarkStart w:id="1383" w:name="_Toc336681940"/>
      <w:bookmarkStart w:id="1384" w:name="_Toc331512903"/>
      <w:bookmarkStart w:id="1385" w:name="_Toc339362305"/>
      <w:bookmarkStart w:id="1386" w:name="_Toc339020100"/>
      <w:bookmarkStart w:id="1387" w:name="_Toc333935351"/>
      <w:bookmarkStart w:id="1388" w:name="_Toc349143594"/>
      <w:bookmarkStart w:id="1389" w:name="_Toc340507447"/>
      <w:bookmarkStart w:id="1390" w:name="_Toc350438754"/>
      <w:bookmarkStart w:id="1391" w:name="_Toc339441092"/>
      <w:bookmarkStart w:id="1392" w:name="_Toc340677075"/>
      <w:bookmarkStart w:id="1393" w:name="_Toc345513906"/>
      <w:bookmarkStart w:id="1394" w:name="_Toc340672874"/>
      <w:bookmarkStart w:id="1395" w:name="_Toc332270351"/>
      <w:bookmarkStart w:id="1396" w:name="_Toc332206713"/>
      <w:bookmarkStart w:id="1397" w:name="_Toc337632363"/>
      <w:bookmarkStart w:id="1398" w:name="_Toc342296765"/>
      <w:bookmarkStart w:id="1399" w:name="_Toc339019894"/>
      <w:bookmarkStart w:id="1400" w:name="_Toc330459990"/>
      <w:bookmarkStart w:id="1401" w:name="_Toc342060379"/>
      <w:bookmarkStart w:id="1402" w:name="_Toc333935692"/>
      <w:bookmarkStart w:id="1403" w:name="_Toc333237793"/>
      <w:bookmarkStart w:id="1404" w:name="_Toc339020020"/>
      <w:bookmarkStart w:id="1405" w:name="_Toc349127631"/>
      <w:bookmarkStart w:id="1406" w:name="_Toc341348343"/>
      <w:bookmarkStart w:id="1407" w:name="_Toc333237682"/>
      <w:bookmarkStart w:id="1408" w:name="_Toc365967077"/>
      <w:bookmarkStart w:id="1409" w:name="_Toc331684043"/>
      <w:r>
        <w:rPr>
          <w:rFonts w:hint="eastAsia" w:ascii="宋体" w:hAnsi="宋体"/>
          <w:color w:val="auto"/>
          <w:szCs w:val="21"/>
          <w:highlight w:val="none"/>
        </w:rPr>
        <w:t>31.1</w:t>
      </w:r>
      <w:r>
        <w:rPr>
          <w:rFonts w:hint="eastAsia" w:ascii="宋体" w:hAnsi="宋体"/>
          <w:color w:val="auto"/>
          <w:szCs w:val="21"/>
          <w:highlight w:val="none"/>
        </w:rPr>
        <w:tab/>
      </w:r>
      <w:r>
        <w:rPr>
          <w:rFonts w:hint="eastAsia" w:ascii="宋体" w:hAnsi="宋体"/>
          <w:color w:val="auto"/>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31.2   采购人或代理采购机构应当在收到</w:t>
      </w:r>
      <w:r>
        <w:rPr>
          <w:rFonts w:hint="eastAsia" w:ascii="宋体" w:hAnsi="宋体"/>
          <w:color w:val="auto"/>
          <w:szCs w:val="21"/>
          <w:highlight w:val="none"/>
          <w:lang w:eastAsia="zh-CN"/>
        </w:rPr>
        <w:t>投标</w:t>
      </w:r>
      <w:r>
        <w:rPr>
          <w:rFonts w:hint="eastAsia" w:ascii="宋体" w:hAnsi="宋体"/>
          <w:color w:val="auto"/>
          <w:szCs w:val="21"/>
          <w:highlight w:val="none"/>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auto"/>
          <w:sz w:val="24"/>
          <w:highlight w:val="none"/>
        </w:rPr>
      </w:pPr>
      <w:bookmarkStart w:id="1410" w:name="_Toc374454605"/>
      <w:bookmarkStart w:id="1411" w:name="_Toc366072533"/>
      <w:r>
        <w:rPr>
          <w:color w:val="auto"/>
          <w:sz w:val="24"/>
          <w:highlight w:val="none"/>
        </w:rPr>
        <w:br w:type="page"/>
      </w:r>
      <w:bookmarkStart w:id="1412" w:name="_Toc14354"/>
      <w:r>
        <w:rPr>
          <w:rFonts w:hint="eastAsia"/>
          <w:color w:val="auto"/>
          <w:sz w:val="24"/>
          <w:highlight w:val="none"/>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6"/>
        <w:numPr>
          <w:ilvl w:val="4"/>
          <w:numId w:val="24"/>
        </w:numPr>
        <w:tabs>
          <w:tab w:val="left" w:pos="720"/>
        </w:tabs>
        <w:spacing w:before="240" w:after="120"/>
        <w:ind w:left="2432" w:hanging="2432"/>
        <w:rPr>
          <w:color w:val="auto"/>
          <w:highlight w:val="none"/>
        </w:rPr>
      </w:pPr>
      <w:bookmarkStart w:id="1413" w:name="_Toc339020021"/>
      <w:bookmarkStart w:id="1414" w:name="_Toc340677076"/>
      <w:bookmarkStart w:id="1415" w:name="_Toc330459991"/>
      <w:bookmarkStart w:id="1416" w:name="_Toc333935352"/>
      <w:bookmarkStart w:id="1417" w:name="_Toc365985184"/>
      <w:bookmarkStart w:id="1418" w:name="_Toc339441093"/>
      <w:bookmarkStart w:id="1419" w:name="_Toc365967078"/>
      <w:bookmarkStart w:id="1420" w:name="_Toc331684044"/>
      <w:bookmarkStart w:id="1421" w:name="_Toc342296766"/>
      <w:bookmarkStart w:id="1422" w:name="_Toc336681586"/>
      <w:bookmarkStart w:id="1423" w:name="_Toc349127632"/>
      <w:bookmarkStart w:id="1424" w:name="_Toc500861016"/>
      <w:bookmarkStart w:id="1425" w:name="_Toc332270352"/>
      <w:bookmarkStart w:id="1426" w:name="_Toc374454606"/>
      <w:bookmarkStart w:id="1427" w:name="_Toc350756456"/>
      <w:bookmarkStart w:id="1428" w:name="_Toc333237794"/>
      <w:bookmarkStart w:id="1429" w:name="_Toc349143595"/>
      <w:bookmarkStart w:id="1430" w:name="_Toc480010727"/>
      <w:bookmarkStart w:id="1431" w:name="_Toc333935693"/>
      <w:bookmarkStart w:id="1432" w:name="_Toc339020239"/>
      <w:bookmarkStart w:id="1433" w:name="_Toc339362306"/>
      <w:bookmarkStart w:id="1434" w:name="_Toc340672875"/>
      <w:bookmarkStart w:id="1435" w:name="_Toc331512904"/>
      <w:bookmarkStart w:id="1436" w:name="_Toc350438755"/>
      <w:bookmarkStart w:id="1437" w:name="_Toc480021072"/>
      <w:bookmarkStart w:id="1438" w:name="_Toc491658670"/>
      <w:bookmarkStart w:id="1439" w:name="_Toc337632364"/>
      <w:bookmarkStart w:id="1440" w:name="_Toc479991601"/>
      <w:bookmarkStart w:id="1441" w:name="_Toc467236759"/>
      <w:bookmarkStart w:id="1442" w:name="_Toc467987842"/>
      <w:bookmarkStart w:id="1443" w:name="_Toc333238639"/>
      <w:bookmarkStart w:id="1444" w:name="_Toc468606048"/>
      <w:bookmarkStart w:id="1445" w:name="_Toc339019895"/>
      <w:bookmarkStart w:id="1446" w:name="_Toc468157555"/>
      <w:bookmarkStart w:id="1447" w:name="_Toc366072534"/>
      <w:bookmarkStart w:id="1448" w:name="_Toc345513907"/>
      <w:bookmarkStart w:id="1449" w:name="_Toc340507448"/>
      <w:bookmarkStart w:id="1450" w:name="_Toc480020276"/>
      <w:bookmarkStart w:id="1451" w:name="_Toc333237683"/>
      <w:bookmarkStart w:id="1452" w:name="_Toc339020101"/>
      <w:bookmarkStart w:id="1453" w:name="_Toc342060380"/>
      <w:bookmarkStart w:id="1454" w:name="_Toc332206714"/>
      <w:bookmarkStart w:id="1455" w:name="_Toc336681941"/>
      <w:bookmarkStart w:id="1456" w:name="_Toc341348344"/>
      <w:bookmarkStart w:id="1457" w:name="_Toc23263"/>
      <w:bookmarkStart w:id="1458" w:name="_Toc458262633"/>
      <w:bookmarkStart w:id="1459" w:name="_Toc454701400"/>
      <w:r>
        <w:rPr>
          <w:rFonts w:hint="eastAsia"/>
          <w:color w:val="auto"/>
          <w:highlight w:val="none"/>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2</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 xml:space="preserve"> 按第30条规定，采购人将把合同授予此次招标的中标投标人。</w:t>
      </w:r>
    </w:p>
    <w:bookmarkEnd w:id="1458"/>
    <w:bookmarkEnd w:id="1459"/>
    <w:p>
      <w:pPr>
        <w:pStyle w:val="6"/>
        <w:numPr>
          <w:ilvl w:val="4"/>
          <w:numId w:val="24"/>
        </w:numPr>
        <w:tabs>
          <w:tab w:val="left" w:pos="720"/>
        </w:tabs>
        <w:spacing w:before="240" w:after="120"/>
        <w:ind w:left="2432" w:hanging="2432"/>
        <w:rPr>
          <w:color w:val="auto"/>
          <w:highlight w:val="none"/>
        </w:rPr>
      </w:pPr>
      <w:bookmarkStart w:id="1460" w:name="_Toc332270353"/>
      <w:bookmarkStart w:id="1461" w:name="_Toc468157559"/>
      <w:bookmarkStart w:id="1462" w:name="_Toc365967079"/>
      <w:bookmarkStart w:id="1463" w:name="_Toc337632365"/>
      <w:bookmarkStart w:id="1464" w:name="_Toc332206715"/>
      <w:bookmarkStart w:id="1465" w:name="_Toc340507449"/>
      <w:bookmarkStart w:id="1466" w:name="_Toc342060381"/>
      <w:bookmarkStart w:id="1467" w:name="_Toc331512905"/>
      <w:bookmarkStart w:id="1468" w:name="_Toc339020240"/>
      <w:bookmarkStart w:id="1469" w:name="_Toc480021076"/>
      <w:bookmarkStart w:id="1470" w:name="_Toc333237684"/>
      <w:bookmarkStart w:id="1471" w:name="_Toc349143596"/>
      <w:bookmarkStart w:id="1472" w:name="_Toc479991605"/>
      <w:bookmarkStart w:id="1473" w:name="_Toc349127633"/>
      <w:bookmarkStart w:id="1474" w:name="_Toc339020102"/>
      <w:bookmarkStart w:id="1475" w:name="_Toc467236763"/>
      <w:bookmarkStart w:id="1476" w:name="_Toc330459992"/>
      <w:bookmarkStart w:id="1477" w:name="_Toc341348345"/>
      <w:bookmarkStart w:id="1478" w:name="_Toc468606052"/>
      <w:bookmarkStart w:id="1479" w:name="_Toc336681587"/>
      <w:bookmarkStart w:id="1480" w:name="_Toc480010731"/>
      <w:bookmarkStart w:id="1481" w:name="_Toc500861020"/>
      <w:bookmarkStart w:id="1482" w:name="_Toc336681942"/>
      <w:bookmarkStart w:id="1483" w:name="_Toc339441094"/>
      <w:bookmarkStart w:id="1484" w:name="_Toc458262635"/>
      <w:bookmarkStart w:id="1485" w:name="_Toc350438756"/>
      <w:bookmarkStart w:id="1486" w:name="_Toc491658674"/>
      <w:bookmarkStart w:id="1487" w:name="_Toc333238640"/>
      <w:bookmarkStart w:id="1488" w:name="_Toc331684045"/>
      <w:bookmarkStart w:id="1489" w:name="_Toc339362307"/>
      <w:bookmarkStart w:id="1490" w:name="_Toc350756457"/>
      <w:bookmarkStart w:id="1491" w:name="_Toc374454607"/>
      <w:bookmarkStart w:id="1492" w:name="_Toc339019896"/>
      <w:bookmarkStart w:id="1493" w:name="_Toc345513908"/>
      <w:bookmarkStart w:id="1494" w:name="_Toc339020022"/>
      <w:bookmarkStart w:id="1495" w:name="_Toc454701402"/>
      <w:bookmarkStart w:id="1496" w:name="_Toc333935353"/>
      <w:bookmarkStart w:id="1497" w:name="_Toc333935694"/>
      <w:bookmarkStart w:id="1498" w:name="_Toc340677077"/>
      <w:bookmarkStart w:id="1499" w:name="_Toc342296767"/>
      <w:bookmarkStart w:id="1500" w:name="_Toc340672876"/>
      <w:bookmarkStart w:id="1501" w:name="_Toc333237795"/>
      <w:bookmarkStart w:id="1502" w:name="_Toc480020280"/>
      <w:bookmarkStart w:id="1503" w:name="_Toc365985185"/>
      <w:bookmarkStart w:id="1504" w:name="_Toc467987846"/>
      <w:bookmarkStart w:id="1505" w:name="_Toc366072535"/>
      <w:bookmarkStart w:id="1506" w:name="_Toc23754"/>
      <w:r>
        <w:rPr>
          <w:rFonts w:hint="eastAsia"/>
          <w:color w:val="auto"/>
          <w:highlight w:val="none"/>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auto"/>
          <w:highlight w:val="none"/>
        </w:rPr>
      </w:pPr>
      <w:bookmarkStart w:id="1507" w:name="_Toc366681897"/>
      <w:bookmarkStart w:id="1508" w:name="_Toc370983962"/>
      <w:bookmarkStart w:id="1509" w:name="_Toc369700990"/>
      <w:bookmarkStart w:id="1510" w:name="_Toc378261823"/>
      <w:bookmarkStart w:id="1511" w:name="_Toc379896705"/>
      <w:bookmarkStart w:id="1512" w:name="_Toc372209289"/>
      <w:bookmarkStart w:id="1513" w:name="_Toc367095382"/>
      <w:bookmarkStart w:id="1514" w:name="_Toc374454608"/>
      <w:bookmarkStart w:id="1515" w:name="_Toc377129068"/>
      <w:bookmarkStart w:id="1516" w:name="_Toc366072536"/>
      <w:bookmarkStart w:id="1517" w:name="_Toc373401413"/>
      <w:bookmarkStart w:id="1518" w:name="_Toc383069738"/>
      <w:bookmarkStart w:id="1519" w:name="_Toc374093632"/>
      <w:bookmarkStart w:id="1520" w:name="_Toc370309169"/>
      <w:bookmarkStart w:id="1521" w:name="_Toc336681588"/>
      <w:bookmarkStart w:id="1522" w:name="_Toc333238641"/>
      <w:bookmarkStart w:id="1523" w:name="_Toc331512906"/>
      <w:bookmarkStart w:id="1524" w:name="_Toc339020023"/>
      <w:bookmarkStart w:id="1525" w:name="_Toc331684046"/>
      <w:bookmarkStart w:id="1526" w:name="_Toc345513909"/>
      <w:bookmarkStart w:id="1527" w:name="_Toc333237796"/>
      <w:bookmarkStart w:id="1528" w:name="_Toc337632366"/>
      <w:bookmarkStart w:id="1529" w:name="_Toc333237685"/>
      <w:bookmarkStart w:id="1530" w:name="_Toc340677078"/>
      <w:bookmarkStart w:id="1531" w:name="_Toc339020103"/>
      <w:bookmarkStart w:id="1532" w:name="_Toc349143597"/>
      <w:bookmarkStart w:id="1533" w:name="_Toc332270354"/>
      <w:bookmarkStart w:id="1534" w:name="_Toc365967080"/>
      <w:bookmarkStart w:id="1535" w:name="_Toc336681943"/>
      <w:bookmarkStart w:id="1536" w:name="_Toc340507450"/>
      <w:bookmarkStart w:id="1537" w:name="_Toc350756458"/>
      <w:bookmarkStart w:id="1538" w:name="_Toc333935354"/>
      <w:bookmarkStart w:id="1539" w:name="_Toc339362308"/>
      <w:bookmarkStart w:id="1540" w:name="_Toc341348346"/>
      <w:bookmarkStart w:id="1541" w:name="_Toc340672877"/>
      <w:bookmarkStart w:id="1542" w:name="_Toc342296768"/>
      <w:bookmarkStart w:id="1543" w:name="_Toc339441095"/>
      <w:bookmarkStart w:id="1544" w:name="_Toc349127634"/>
      <w:bookmarkStart w:id="1545" w:name="_Toc330459993"/>
      <w:bookmarkStart w:id="1546" w:name="_Toc350438757"/>
      <w:bookmarkStart w:id="1547" w:name="_Toc342060382"/>
      <w:bookmarkStart w:id="1548" w:name="_Toc333935695"/>
      <w:bookmarkStart w:id="1549" w:name="_Toc339020241"/>
      <w:bookmarkStart w:id="1550" w:name="_Toc332206716"/>
      <w:bookmarkStart w:id="1551" w:name="_Toc339019897"/>
      <w:bookmarkStart w:id="1552" w:name="_Toc365985186"/>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.2</w:t>
      </w:r>
      <w:r>
        <w:rPr>
          <w:rFonts w:hint="eastAsia" w:ascii="宋体" w:hAnsi="宋体"/>
          <w:bCs/>
          <w:color w:val="auto"/>
          <w:highlight w:val="none"/>
        </w:rPr>
        <w:t xml:space="preserve"> </w:t>
      </w:r>
      <w:r>
        <w:rPr>
          <w:rFonts w:hint="eastAsia" w:ascii="宋体" w:hAnsi="宋体"/>
          <w:bCs/>
          <w:color w:val="auto"/>
          <w:highlight w:val="none"/>
        </w:rPr>
        <w:tab/>
      </w:r>
      <w:r>
        <w:rPr>
          <w:rFonts w:hint="eastAsia" w:ascii="宋体" w:hAnsi="宋体"/>
          <w:bCs/>
          <w:color w:val="auto"/>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auto"/>
          <w:highlight w:val="none"/>
        </w:rPr>
      </w:pPr>
      <w:r>
        <w:rPr>
          <w:rFonts w:hint="eastAsia" w:ascii="宋体" w:hAnsi="宋体" w:cs="Arial"/>
          <w:color w:val="auto"/>
          <w:szCs w:val="21"/>
          <w:highlight w:val="none"/>
        </w:rPr>
        <w:t xml:space="preserve">33.3   </w:t>
      </w:r>
      <w:r>
        <w:rPr>
          <w:rFonts w:ascii="宋体" w:hAnsi="宋体"/>
          <w:bCs/>
          <w:color w:val="auto"/>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auto"/>
          <w:highlight w:val="none"/>
        </w:rPr>
        <w:t>。</w:t>
      </w: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auto"/>
          <w:sz w:val="24"/>
          <w:highlight w:val="none"/>
        </w:rPr>
      </w:pPr>
      <w:bookmarkStart w:id="1553" w:name="_Toc432682726"/>
      <w:bookmarkStart w:id="1554" w:name="_Toc430771059"/>
      <w:bookmarkStart w:id="1555" w:name="_Toc9163"/>
      <w:bookmarkStart w:id="1556" w:name="_Toc480010734"/>
      <w:bookmarkStart w:id="1557" w:name="_Toc500861024"/>
      <w:bookmarkStart w:id="1558" w:name="_Toc467236766"/>
      <w:bookmarkStart w:id="1559" w:name="_Toc480020283"/>
      <w:bookmarkStart w:id="1560" w:name="_Toc491658677"/>
      <w:bookmarkStart w:id="1561" w:name="_Toc480021079"/>
      <w:bookmarkStart w:id="1562" w:name="_Toc468606055"/>
      <w:bookmarkStart w:id="1563" w:name="_Toc479991608"/>
      <w:bookmarkStart w:id="1564" w:name="_Toc468157562"/>
      <w:bookmarkStart w:id="1565" w:name="_Toc467987849"/>
      <w:r>
        <w:rPr>
          <w:color w:val="auto"/>
          <w:sz w:val="24"/>
          <w:highlight w:val="none"/>
        </w:rPr>
        <w:t>G</w:t>
      </w:r>
      <w:r>
        <w:rPr>
          <w:rFonts w:hint="eastAsia"/>
          <w:color w:val="auto"/>
          <w:sz w:val="24"/>
          <w:highlight w:val="none"/>
        </w:rPr>
        <w:t>、政府采购政策</w:t>
      </w:r>
      <w:bookmarkEnd w:id="1553"/>
      <w:bookmarkEnd w:id="1554"/>
      <w:bookmarkEnd w:id="1555"/>
    </w:p>
    <w:p>
      <w:pPr>
        <w:spacing w:line="360" w:lineRule="auto"/>
        <w:ind w:left="735" w:hanging="735" w:hangingChars="350"/>
        <w:rPr>
          <w:rFonts w:hint="eastAsia" w:ascii="宋体" w:hAnsi="宋体" w:eastAsia="宋体" w:cs="宋体"/>
          <w:color w:val="auto"/>
          <w:highlight w:val="none"/>
        </w:rPr>
      </w:pPr>
      <w:bookmarkStart w:id="1566" w:name="_Toc430771060"/>
      <w:bookmarkStart w:id="1567" w:name="_Toc430185803"/>
      <w:r>
        <w:rPr>
          <w:rFonts w:hint="eastAsia" w:ascii="宋体" w:hAnsi="宋体" w:eastAsia="宋体" w:cs="宋体"/>
          <w:color w:val="auto"/>
          <w:highlight w:val="none"/>
        </w:rPr>
        <w:t>3</w:t>
      </w:r>
      <w:r>
        <w:rPr>
          <w:rFonts w:hint="eastAsia" w:ascii="宋体" w:hAnsi="宋体" w:cs="宋体"/>
          <w:color w:val="auto"/>
          <w:highlight w:val="none"/>
          <w:lang w:val="en-US" w:eastAsia="zh-CN"/>
        </w:rPr>
        <w:t>4</w:t>
      </w:r>
      <w:r>
        <w:rPr>
          <w:rFonts w:hint="eastAsia" w:ascii="宋体" w:hAnsi="宋体" w:eastAsia="宋体" w:cs="宋体"/>
          <w:color w:val="auto"/>
          <w:highlight w:val="none"/>
        </w:rPr>
        <w:t xml:space="preserve">     </w:t>
      </w:r>
      <w:bookmarkStart w:id="1568" w:name="_Hlk499217741"/>
      <w:r>
        <w:rPr>
          <w:rFonts w:hint="eastAsia" w:ascii="宋体" w:hAnsi="宋体" w:eastAsia="宋体" w:cs="宋体"/>
          <w:color w:val="auto"/>
          <w:highlight w:val="none"/>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auto"/>
          <w:highlight w:val="none"/>
        </w:rPr>
      </w:pPr>
      <w:bookmarkStart w:id="1569" w:name="_Toc430185804"/>
      <w:bookmarkStart w:id="1570" w:name="_Toc430771061"/>
      <w:r>
        <w:rPr>
          <w:rFonts w:hint="eastAsia" w:ascii="宋体" w:hAnsi="宋体" w:eastAsia="宋体" w:cs="宋体"/>
          <w:color w:val="auto"/>
          <w:highlight w:val="none"/>
        </w:rPr>
        <w:t>3</w:t>
      </w:r>
      <w:r>
        <w:rPr>
          <w:rFonts w:hint="eastAsia" w:ascii="宋体" w:hAnsi="宋体" w:cs="宋体"/>
          <w:color w:val="auto"/>
          <w:highlight w:val="none"/>
          <w:lang w:val="en-US" w:eastAsia="zh-CN"/>
        </w:rPr>
        <w:t>5</w:t>
      </w:r>
      <w:r>
        <w:rPr>
          <w:rFonts w:hint="eastAsia" w:ascii="宋体" w:hAnsi="宋体" w:eastAsia="宋体" w:cs="宋体"/>
          <w:color w:val="auto"/>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auto"/>
          <w:highlight w:val="none"/>
        </w:rPr>
      </w:pPr>
      <w:bookmarkStart w:id="1571" w:name="_Toc430185805"/>
      <w:bookmarkStart w:id="1572" w:name="_Toc430771062"/>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/）、国家环境保护总局网（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http://www.sepa.gov.cn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/）、中国绿色采购网（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"http://www.cgpn.cn"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http://www.cgpn.cn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/）上发布。</w:t>
      </w:r>
      <w:bookmarkEnd w:id="1571"/>
      <w:bookmarkEnd w:id="1572"/>
    </w:p>
    <w:p>
      <w:pPr>
        <w:spacing w:line="360" w:lineRule="auto"/>
        <w:ind w:left="735" w:hanging="735" w:hangingChars="350"/>
        <w:rPr>
          <w:rFonts w:hint="eastAsia" w:ascii="宋体" w:hAnsi="宋体" w:eastAsia="宋体" w:cs="宋体"/>
          <w:color w:val="auto"/>
          <w:highlight w:val="none"/>
        </w:rPr>
      </w:pPr>
      <w:bookmarkStart w:id="1573" w:name="_Toc430771063"/>
      <w:bookmarkStart w:id="1574" w:name="_Toc430185806"/>
      <w:r>
        <w:rPr>
          <w:rFonts w:hint="eastAsia" w:ascii="宋体" w:hAnsi="宋体" w:eastAsia="宋体" w:cs="宋体"/>
          <w:color w:val="auto"/>
          <w:highlight w:val="none"/>
        </w:rPr>
        <w:t>3</w:t>
      </w:r>
      <w:r>
        <w:rPr>
          <w:rFonts w:hint="eastAsia" w:ascii="宋体" w:hAnsi="宋体" w:cs="宋体"/>
          <w:color w:val="auto"/>
          <w:highlight w:val="none"/>
          <w:lang w:val="en-US" w:eastAsia="zh-CN"/>
        </w:rPr>
        <w:t>7</w:t>
      </w:r>
      <w:r>
        <w:rPr>
          <w:rFonts w:hint="eastAsia" w:ascii="宋体" w:hAnsi="宋体" w:eastAsia="宋体" w:cs="宋体"/>
          <w:color w:val="auto"/>
          <w:highlight w:val="none"/>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kern w:val="2"/>
          <w:sz w:val="21"/>
          <w:szCs w:val="24"/>
          <w:highlight w:val="none"/>
          <w:lang w:val="en-US" w:eastAsia="zh-CN" w:bidi="ar-SA"/>
        </w:rPr>
        <w:t>3</w:t>
      </w:r>
      <w:r>
        <w:rPr>
          <w:rFonts w:hint="eastAsia" w:ascii="宋体" w:hAnsi="宋体" w:cs="宋体"/>
          <w:bCs/>
          <w:color w:val="auto"/>
          <w:kern w:val="2"/>
          <w:sz w:val="21"/>
          <w:szCs w:val="24"/>
          <w:highlight w:val="none"/>
          <w:lang w:val="en-US" w:eastAsia="zh-CN" w:bidi="ar-SA"/>
        </w:rPr>
        <w:t>7</w:t>
      </w:r>
      <w:r>
        <w:rPr>
          <w:rFonts w:hint="eastAsia" w:ascii="宋体" w:hAnsi="宋体" w:eastAsia="宋体" w:cs="宋体"/>
          <w:bCs/>
          <w:color w:val="auto"/>
          <w:kern w:val="2"/>
          <w:sz w:val="21"/>
          <w:szCs w:val="24"/>
          <w:highlight w:val="none"/>
          <w:lang w:val="en-US" w:eastAsia="zh-CN" w:bidi="ar-SA"/>
        </w:rPr>
        <w:t>.</w:t>
      </w:r>
      <w:r>
        <w:rPr>
          <w:rFonts w:hint="eastAsia" w:ascii="宋体" w:hAnsi="宋体" w:cs="宋体"/>
          <w:bCs/>
          <w:color w:val="auto"/>
          <w:kern w:val="2"/>
          <w:sz w:val="21"/>
          <w:szCs w:val="24"/>
          <w:highlight w:val="none"/>
          <w:lang w:val="en-US" w:eastAsia="zh-CN" w:bidi="ar-SA"/>
        </w:rPr>
        <w:t>5</w:t>
      </w:r>
      <w:r>
        <w:rPr>
          <w:rFonts w:hint="eastAsia" w:ascii="宋体" w:hAnsi="宋体" w:eastAsia="宋体" w:cs="宋体"/>
          <w:bCs/>
          <w:color w:val="auto"/>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highlight w:val="none"/>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评标价=总投标报价-小型和微型企业产品的价格×</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对联合体总金额扣除</w:t>
            </w:r>
            <w:r>
              <w:rPr>
                <w:rFonts w:hint="eastAsia" w:ascii="宋体" w:hAnsi="宋体" w:eastAsia="宋体" w:cs="宋体"/>
                <w:color w:val="auto"/>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w:t>
            </w:r>
            <w:r>
              <w:rPr>
                <w:rFonts w:hint="eastAsia" w:ascii="宋体" w:hAnsi="宋体" w:eastAsia="宋体" w:cs="宋体"/>
                <w:color w:val="auto"/>
                <w:szCs w:val="21"/>
                <w:highlight w:val="none"/>
                <w:u w:val="single"/>
              </w:rPr>
              <w:t>1-2%</w:t>
            </w:r>
            <w:r>
              <w:rPr>
                <w:rFonts w:hint="eastAsia" w:ascii="宋体" w:hAnsi="宋体" w:eastAsia="宋体" w:cs="宋体"/>
                <w:color w:val="auto"/>
                <w:szCs w:val="21"/>
                <w:highlight w:val="none"/>
              </w:rPr>
              <w:t>）</w:t>
            </w:r>
          </w:p>
        </w:tc>
      </w:tr>
    </w:tbl>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pStyle w:val="4"/>
        <w:numPr>
          <w:ilvl w:val="0"/>
          <w:numId w:val="0"/>
        </w:numPr>
        <w:rPr>
          <w:color w:val="auto"/>
          <w:sz w:val="24"/>
          <w:highlight w:val="none"/>
        </w:rPr>
      </w:pPr>
      <w:bookmarkStart w:id="1575" w:name="_Toc1391"/>
      <w:r>
        <w:rPr>
          <w:rFonts w:hint="eastAsia"/>
          <w:color w:val="auto"/>
          <w:sz w:val="24"/>
          <w:highlight w:val="none"/>
        </w:rPr>
        <w:t>H、评标细则</w:t>
      </w:r>
      <w:bookmarkEnd w:id="1575"/>
    </w:p>
    <w:p>
      <w:pPr>
        <w:pStyle w:val="23"/>
        <w:widowControl/>
        <w:tabs>
          <w:tab w:val="left" w:pos="753"/>
        </w:tabs>
        <w:adjustRightInd w:val="0"/>
        <w:snapToGrid w:val="0"/>
        <w:spacing w:line="360" w:lineRule="auto"/>
        <w:ind w:left="752" w:hanging="751" w:hangingChars="358"/>
        <w:rPr>
          <w:rFonts w:hAnsi="宋体"/>
          <w:bCs/>
          <w:color w:val="auto"/>
          <w:highlight w:val="none"/>
        </w:rPr>
      </w:pPr>
      <w:r>
        <w:rPr>
          <w:rFonts w:hint="eastAsia" w:hAnsi="宋体"/>
          <w:bCs/>
          <w:color w:val="auto"/>
          <w:highlight w:val="none"/>
        </w:rPr>
        <w:t>采用计分法（综合评价法）来确定各投标人的排名。其操作程序为：</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根据招标文件和评标原则，按下表（评价指标和权重表）所列评价指标和各评价指标的权重进行评标。</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color w:val="auto"/>
          <w:sz w:val="21"/>
          <w:highlight w:val="none"/>
        </w:rPr>
        <w:t>经济价格得分评审办法：以满足招标文件要求且投标报价最低的投标报价为评标基准价，其价格分为满分。</w:t>
      </w:r>
      <w:r>
        <w:rPr>
          <w:rFonts w:hint="eastAsia" w:ascii="宋体" w:hAnsi="宋体" w:eastAsia="宋体"/>
          <w:bCs/>
          <w:color w:val="auto"/>
          <w:sz w:val="21"/>
          <w:highlight w:val="none"/>
        </w:rPr>
        <w:t>经济价格标得分＝(评标基准价/投标报价)×价格指标权重×100。</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由评委独立地根据各项指标的评价标准，结合每个投标人的实际情况，分别就投标报价以外的各项指标对每个投标人独立打分。</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技术部分和商务部分得分结果为全部评委评价指标评分的算术平均值。</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将所有评价指标所得实际评价分数相加，即为该投标人的综合得分。</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评标委员会将推荐综合得分最高的投标人为该项目的中标候选人。</w:t>
      </w:r>
    </w:p>
    <w:bookmarkEnd w:id="1556"/>
    <w:bookmarkEnd w:id="1557"/>
    <w:bookmarkEnd w:id="1558"/>
    <w:bookmarkEnd w:id="1559"/>
    <w:bookmarkEnd w:id="1560"/>
    <w:bookmarkEnd w:id="1561"/>
    <w:bookmarkEnd w:id="1562"/>
    <w:bookmarkEnd w:id="1563"/>
    <w:bookmarkEnd w:id="1564"/>
    <w:bookmarkEnd w:id="1565"/>
    <w:p>
      <w:pPr>
        <w:rPr>
          <w:rFonts w:hint="eastAsia"/>
          <w:color w:val="auto"/>
          <w:highlight w:val="none"/>
          <w:lang w:val="en-US" w:eastAsia="zh-CN"/>
        </w:rPr>
      </w:pPr>
      <w:bookmarkStart w:id="1576" w:name="_Toc340507451"/>
      <w:bookmarkStart w:id="1577" w:name="_Toc333935355"/>
      <w:bookmarkStart w:id="1578" w:name="_Toc339362309"/>
      <w:bookmarkStart w:id="1579" w:name="_Toc340677079"/>
      <w:bookmarkStart w:id="1580" w:name="_Toc349143598"/>
      <w:bookmarkStart w:id="1581" w:name="_Toc341348347"/>
      <w:bookmarkStart w:id="1582" w:name="_Toc340672878"/>
      <w:bookmarkStart w:id="1583" w:name="_Toc331684047"/>
      <w:bookmarkStart w:id="1584" w:name="_Toc365967081"/>
      <w:bookmarkStart w:id="1585" w:name="_Toc342060383"/>
      <w:bookmarkStart w:id="1586" w:name="_Toc333237686"/>
      <w:bookmarkStart w:id="1587" w:name="_Toc332270355"/>
      <w:bookmarkStart w:id="1588" w:name="_Toc337632367"/>
      <w:bookmarkStart w:id="1589" w:name="_Toc339019898"/>
      <w:bookmarkStart w:id="1590" w:name="_Toc339020024"/>
      <w:bookmarkStart w:id="1591" w:name="_Toc336681589"/>
      <w:bookmarkStart w:id="1592" w:name="_Toc350756459"/>
      <w:bookmarkStart w:id="1593" w:name="_Toc365985187"/>
      <w:bookmarkStart w:id="1594" w:name="_Toc342296769"/>
      <w:bookmarkStart w:id="1595" w:name="_Toc332206717"/>
      <w:bookmarkStart w:id="1596" w:name="_Toc345513910"/>
      <w:bookmarkStart w:id="1597" w:name="_Toc339441096"/>
      <w:bookmarkStart w:id="1598" w:name="_Toc333935696"/>
      <w:bookmarkStart w:id="1599" w:name="_Toc330459994"/>
      <w:bookmarkStart w:id="1600" w:name="_Toc349127635"/>
      <w:bookmarkStart w:id="1601" w:name="_Toc336681944"/>
      <w:bookmarkStart w:id="1602" w:name="_Toc374454610"/>
      <w:bookmarkStart w:id="1603" w:name="_Toc333238642"/>
      <w:bookmarkStart w:id="1604" w:name="_Toc331512907"/>
      <w:bookmarkStart w:id="1605" w:name="_Toc339020104"/>
      <w:bookmarkStart w:id="1606" w:name="_Toc366072538"/>
      <w:bookmarkStart w:id="1607" w:name="_Toc339020242"/>
      <w:bookmarkStart w:id="1608" w:name="_Toc333237797"/>
      <w:bookmarkStart w:id="1609" w:name="_Toc350438758"/>
      <w:r>
        <w:rPr>
          <w:rFonts w:hint="eastAsia"/>
          <w:color w:val="auto"/>
          <w:highlight w:val="none"/>
          <w:lang w:val="en-US" w:eastAsia="zh-CN"/>
        </w:rPr>
        <w:t>评价指标及权重：</w:t>
      </w:r>
    </w:p>
    <w:p>
      <w:pPr>
        <w:rPr>
          <w:rFonts w:hint="eastAsia"/>
          <w:color w:val="auto"/>
          <w:highlight w:val="none"/>
          <w:lang w:val="en-US" w:eastAsia="zh-CN"/>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color w:val="auto"/>
                <w:highlight w:val="none"/>
                <w:lang w:val="en-US" w:eastAsia="zh-CN"/>
              </w:rPr>
            </w:pPr>
            <w:r>
              <w:rPr>
                <w:rFonts w:hint="eastAsia"/>
                <w:color w:val="auto"/>
                <w:highlight w:val="none"/>
                <w:lang w:val="en-US" w:eastAsia="zh-CN"/>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color w:val="auto"/>
                <w:highlight w:val="none"/>
                <w:lang w:val="en-US" w:eastAsia="zh-CN"/>
              </w:rPr>
            </w:pPr>
            <w:r>
              <w:rPr>
                <w:rFonts w:hint="eastAsia"/>
                <w:color w:val="auto"/>
                <w:highlight w:val="none"/>
                <w:lang w:val="en-US" w:eastAsia="zh-CN"/>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color w:val="auto"/>
                <w:highlight w:val="none"/>
                <w:lang w:val="en-US" w:eastAsia="zh-CN"/>
              </w:rPr>
            </w:pPr>
            <w:r>
              <w:rPr>
                <w:rFonts w:hint="eastAsia"/>
                <w:color w:val="auto"/>
                <w:highlight w:val="none"/>
                <w:lang w:val="en-US" w:eastAsia="zh-CN"/>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color w:val="auto"/>
                <w:highlight w:val="none"/>
                <w:lang w:val="en-US" w:eastAsia="zh-CN"/>
              </w:rPr>
            </w:pPr>
            <w:r>
              <w:rPr>
                <w:rFonts w:hint="eastAsia"/>
                <w:color w:val="auto"/>
                <w:highlight w:val="none"/>
                <w:lang w:val="en-US" w:eastAsia="zh-CN"/>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color w:val="auto"/>
                <w:highlight w:val="none"/>
                <w:lang w:val="en-US" w:eastAsia="zh-CN"/>
              </w:rPr>
            </w:pPr>
            <w:r>
              <w:rPr>
                <w:rFonts w:hint="eastAsia"/>
                <w:color w:val="auto"/>
                <w:highlight w:val="none"/>
                <w:lang w:val="en-US" w:eastAsia="zh-CN"/>
              </w:rPr>
              <w:t>50分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color w:val="auto"/>
                <w:highlight w:val="none"/>
                <w:lang w:val="en-US" w:eastAsia="zh-CN"/>
              </w:rPr>
            </w:pPr>
            <w:r>
              <w:rPr>
                <w:rFonts w:hint="eastAsia"/>
                <w:color w:val="auto"/>
                <w:highlight w:val="none"/>
                <w:lang w:val="en-US" w:eastAsia="zh-CN"/>
              </w:rPr>
              <w:t>50分</w:t>
            </w:r>
          </w:p>
        </w:tc>
      </w:tr>
    </w:tbl>
    <w:p>
      <w:pPr>
        <w:rPr>
          <w:rFonts w:hint="eastAsia"/>
          <w:color w:val="auto"/>
          <w:highlight w:val="none"/>
          <w:lang w:val="en-US" w:eastAsia="zh-CN"/>
        </w:rPr>
      </w:pPr>
    </w:p>
    <w:p>
      <w:pPr>
        <w:rPr>
          <w:rFonts w:hint="eastAsia"/>
          <w:color w:val="auto"/>
          <w:highlight w:val="none"/>
          <w:lang w:val="en-US" w:eastAsia="zh-CN"/>
        </w:rPr>
      </w:pPr>
      <w:r>
        <w:rPr>
          <w:rFonts w:hint="eastAsia"/>
          <w:color w:val="auto"/>
          <w:highlight w:val="none"/>
          <w:lang w:val="en-US" w:eastAsia="zh-CN"/>
        </w:rPr>
        <w:t>技术评分细则：</w:t>
      </w:r>
    </w:p>
    <w:p>
      <w:pPr>
        <w:rPr>
          <w:rFonts w:hint="eastAsia"/>
          <w:color w:val="auto"/>
          <w:highlight w:val="none"/>
          <w:lang w:val="en-US" w:eastAsia="zh-CN"/>
        </w:rPr>
      </w:pPr>
    </w:p>
    <w:tbl>
      <w:tblPr>
        <w:tblStyle w:val="46"/>
        <w:tblW w:w="9519" w:type="dxa"/>
        <w:jc w:val="center"/>
        <w:tblLayout w:type="fixed"/>
        <w:tblCellMar>
          <w:top w:w="0" w:type="dxa"/>
          <w:left w:w="108" w:type="dxa"/>
          <w:bottom w:w="0" w:type="dxa"/>
          <w:right w:w="108" w:type="dxa"/>
        </w:tblCellMar>
      </w:tblPr>
      <w:tblGrid>
        <w:gridCol w:w="1169"/>
        <w:gridCol w:w="2654"/>
        <w:gridCol w:w="4912"/>
        <w:gridCol w:w="784"/>
      </w:tblGrid>
      <w:tr>
        <w:tblPrEx>
          <w:tblCellMar>
            <w:top w:w="0" w:type="dxa"/>
            <w:left w:w="108" w:type="dxa"/>
            <w:bottom w:w="0" w:type="dxa"/>
            <w:right w:w="108" w:type="dxa"/>
          </w:tblCellMar>
        </w:tblPrEx>
        <w:trPr>
          <w:trHeight w:val="584" w:hRule="atLeast"/>
          <w:tblHeader/>
          <w:jc w:val="center"/>
        </w:trPr>
        <w:tc>
          <w:tcPr>
            <w:tcW w:w="1169"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项目</w:t>
            </w:r>
          </w:p>
        </w:tc>
        <w:tc>
          <w:tcPr>
            <w:tcW w:w="2654" w:type="dxa"/>
            <w:tcBorders>
              <w:top w:val="single" w:color="auto" w:sz="4" w:space="0"/>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评审指标</w:t>
            </w:r>
          </w:p>
        </w:tc>
        <w:tc>
          <w:tcPr>
            <w:tcW w:w="4912" w:type="dxa"/>
            <w:tcBorders>
              <w:top w:val="single" w:color="auto" w:sz="4" w:space="0"/>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评分说明</w:t>
            </w:r>
          </w:p>
        </w:tc>
        <w:tc>
          <w:tcPr>
            <w:tcW w:w="784" w:type="dxa"/>
            <w:tcBorders>
              <w:top w:val="single" w:color="auto" w:sz="4" w:space="0"/>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权重</w:t>
            </w:r>
          </w:p>
        </w:tc>
      </w:tr>
      <w:tr>
        <w:tblPrEx>
          <w:tblCellMar>
            <w:top w:w="0" w:type="dxa"/>
            <w:left w:w="108" w:type="dxa"/>
            <w:bottom w:w="0" w:type="dxa"/>
            <w:right w:w="108" w:type="dxa"/>
          </w:tblCellMar>
        </w:tblPrEx>
        <w:trPr>
          <w:trHeight w:val="1344" w:hRule="atLeast"/>
          <w:jc w:val="center"/>
        </w:trPr>
        <w:tc>
          <w:tcPr>
            <w:tcW w:w="1169" w:type="dxa"/>
            <w:vMerge w:val="restart"/>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服务质量</w:t>
            </w:r>
          </w:p>
        </w:tc>
        <w:tc>
          <w:tcPr>
            <w:tcW w:w="2654"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1.服务方案，投标人服务实施方案的科学合理高效情况以及完善程度。</w:t>
            </w:r>
          </w:p>
        </w:tc>
        <w:tc>
          <w:tcPr>
            <w:tcW w:w="4912" w:type="dxa"/>
            <w:tcBorders>
              <w:top w:val="nil"/>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根据投标人服务实施方案的适用性、组织结构、技术流程、资源支持、规章制度情况评定优良中差。优得满分，良得80分，良得60分，一般得40分。（本小项满分为100分，最终得分×本小项权重比例）</w:t>
            </w:r>
          </w:p>
        </w:tc>
        <w:tc>
          <w:tcPr>
            <w:tcW w:w="784" w:type="dxa"/>
            <w:tcBorders>
              <w:top w:val="nil"/>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CellMar>
            <w:top w:w="0" w:type="dxa"/>
            <w:left w:w="108" w:type="dxa"/>
            <w:bottom w:w="0" w:type="dxa"/>
            <w:right w:w="108" w:type="dxa"/>
          </w:tblCellMar>
        </w:tblPrEx>
        <w:trPr>
          <w:trHeight w:val="1590" w:hRule="atLeast"/>
          <w:jc w:val="center"/>
        </w:trPr>
        <w:tc>
          <w:tcPr>
            <w:tcW w:w="116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p>
        </w:tc>
        <w:tc>
          <w:tcPr>
            <w:tcW w:w="2654"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2.服务承诺，配备专职人员负责办理物业维修基金缴存业务及日常跟踪维护工作；配合海陵区物业维修管理系统提供数据接口。</w:t>
            </w:r>
          </w:p>
        </w:tc>
        <w:tc>
          <w:tcPr>
            <w:tcW w:w="4912" w:type="dxa"/>
            <w:tcBorders>
              <w:top w:val="nil"/>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满足所有要求的，得满分；有任何一项不满足的，得0分。（本小项满分为100分，最终得分×本小项权重比例）</w:t>
            </w:r>
          </w:p>
        </w:tc>
        <w:tc>
          <w:tcPr>
            <w:tcW w:w="784" w:type="dxa"/>
            <w:tcBorders>
              <w:top w:val="nil"/>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CellMar>
            <w:top w:w="0" w:type="dxa"/>
            <w:left w:w="108" w:type="dxa"/>
            <w:bottom w:w="0" w:type="dxa"/>
            <w:right w:w="108" w:type="dxa"/>
          </w:tblCellMar>
        </w:tblPrEx>
        <w:trPr>
          <w:trHeight w:val="1755" w:hRule="atLeast"/>
          <w:jc w:val="center"/>
        </w:trPr>
        <w:tc>
          <w:tcPr>
            <w:tcW w:w="116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p>
        </w:tc>
        <w:tc>
          <w:tcPr>
            <w:tcW w:w="2654"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3.技术保障情况。</w:t>
            </w:r>
          </w:p>
        </w:tc>
        <w:tc>
          <w:tcPr>
            <w:tcW w:w="4912" w:type="dxa"/>
            <w:tcBorders>
              <w:top w:val="nil"/>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根据投标人针对项目的软硬件安全性、科学性、实用性等具体情况进行综合评分。按照采购人实际需要和合理要求，为采购人反馈所代理业务的资金支付信息，并提供实时、动态的电子信息监测、查询系统功能。优得满分，良得70分，一般得40分。（本小项满分为100分，最终得分×本小项权重比例）</w:t>
            </w:r>
          </w:p>
        </w:tc>
        <w:tc>
          <w:tcPr>
            <w:tcW w:w="784" w:type="dxa"/>
            <w:tcBorders>
              <w:top w:val="nil"/>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CellMar>
            <w:top w:w="0" w:type="dxa"/>
            <w:left w:w="108" w:type="dxa"/>
            <w:bottom w:w="0" w:type="dxa"/>
            <w:right w:w="108" w:type="dxa"/>
          </w:tblCellMar>
        </w:tblPrEx>
        <w:trPr>
          <w:trHeight w:val="1535" w:hRule="atLeast"/>
          <w:jc w:val="center"/>
        </w:trPr>
        <w:tc>
          <w:tcPr>
            <w:tcW w:w="116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p>
        </w:tc>
        <w:tc>
          <w:tcPr>
            <w:tcW w:w="2654"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4.网点服务便利性。</w:t>
            </w:r>
          </w:p>
        </w:tc>
        <w:tc>
          <w:tcPr>
            <w:tcW w:w="4912" w:type="dxa"/>
            <w:tcBorders>
              <w:top w:val="nil"/>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横向比较投标人在海陵区提供服务的网点的便利性，根据物维业务指办网点对公窗口数量进行评分，优得满分，良得70分，一般得40分。（提供网点相关证明材料及相应的业务资质证明，未提供不得分）（本小项满分为100分，最终得分×本小项权重比例）</w:t>
            </w:r>
          </w:p>
        </w:tc>
        <w:tc>
          <w:tcPr>
            <w:tcW w:w="784" w:type="dxa"/>
            <w:tcBorders>
              <w:top w:val="nil"/>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CellMar>
            <w:top w:w="0" w:type="dxa"/>
            <w:left w:w="108" w:type="dxa"/>
            <w:bottom w:w="0" w:type="dxa"/>
            <w:right w:w="108" w:type="dxa"/>
          </w:tblCellMar>
        </w:tblPrEx>
        <w:trPr>
          <w:trHeight w:val="1740" w:hRule="atLeast"/>
          <w:jc w:val="center"/>
        </w:trPr>
        <w:tc>
          <w:tcPr>
            <w:tcW w:w="116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p>
        </w:tc>
        <w:tc>
          <w:tcPr>
            <w:tcW w:w="2654"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5.对公窗口和拟派项目人员实力。</w:t>
            </w:r>
          </w:p>
        </w:tc>
        <w:tc>
          <w:tcPr>
            <w:tcW w:w="4912" w:type="dxa"/>
            <w:tcBorders>
              <w:top w:val="single" w:color="auto" w:sz="4" w:space="0"/>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根据拟派管理本项目人员（包括但不限于对公业务窗口人员数量经验、技能的综合实力进行综合评分）。优得满分，良得70分，一般得40分（必须提供以上人员在开标前三个月在投标人所在单位的社保证明，未提供不得分）。（本小项满分为100分，最终得分×本小项权重比例）</w:t>
            </w:r>
          </w:p>
        </w:tc>
        <w:tc>
          <w:tcPr>
            <w:tcW w:w="784" w:type="dxa"/>
            <w:tcBorders>
              <w:top w:val="single" w:color="auto" w:sz="4" w:space="0"/>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CellMar>
            <w:top w:w="0" w:type="dxa"/>
            <w:left w:w="108" w:type="dxa"/>
            <w:bottom w:w="0" w:type="dxa"/>
            <w:right w:w="108" w:type="dxa"/>
          </w:tblCellMar>
        </w:tblPrEx>
        <w:trPr>
          <w:trHeight w:val="1236" w:hRule="atLeast"/>
          <w:jc w:val="center"/>
        </w:trPr>
        <w:tc>
          <w:tcPr>
            <w:tcW w:w="1169" w:type="dxa"/>
            <w:vMerge w:val="restart"/>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对房管中心工作的支持</w:t>
            </w:r>
          </w:p>
        </w:tc>
        <w:tc>
          <w:tcPr>
            <w:tcW w:w="2654"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1.以2021年12月31日海陵区物业维修基金缴存帐户余额计算标准。</w:t>
            </w:r>
          </w:p>
        </w:tc>
        <w:tc>
          <w:tcPr>
            <w:tcW w:w="4912" w:type="dxa"/>
            <w:tcBorders>
              <w:top w:val="nil"/>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总金额3001万元（含）以上为优，1001万元至3000万元（不含）为良，501万元至1000万元为一般，500万元以下为差。优得满分，良得70分，一般得40分，差得20分。（需提供近2021年度海陵区房管中心物业维修基金收入对帐单，以对帐单金额为准）。（本小项满分为100分，最终得分×本小项权重比例）</w:t>
            </w:r>
          </w:p>
        </w:tc>
        <w:tc>
          <w:tcPr>
            <w:tcW w:w="784" w:type="dxa"/>
            <w:tcBorders>
              <w:top w:val="nil"/>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20%</w:t>
            </w:r>
          </w:p>
        </w:tc>
      </w:tr>
      <w:tr>
        <w:tblPrEx>
          <w:tblCellMar>
            <w:top w:w="0" w:type="dxa"/>
            <w:left w:w="108" w:type="dxa"/>
            <w:bottom w:w="0" w:type="dxa"/>
            <w:right w:w="108" w:type="dxa"/>
          </w:tblCellMar>
        </w:tblPrEx>
        <w:trPr>
          <w:trHeight w:val="1265" w:hRule="atLeast"/>
          <w:jc w:val="center"/>
        </w:trPr>
        <w:tc>
          <w:tcPr>
            <w:tcW w:w="116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p>
        </w:tc>
        <w:tc>
          <w:tcPr>
            <w:tcW w:w="2654" w:type="dxa"/>
            <w:tcBorders>
              <w:top w:val="single" w:color="auto" w:sz="4" w:space="0"/>
              <w:left w:val="single" w:color="auto" w:sz="4" w:space="0"/>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2.物业维修基金归集专户优惠报价。</w:t>
            </w:r>
          </w:p>
        </w:tc>
        <w:tc>
          <w:tcPr>
            <w:tcW w:w="4912" w:type="dxa"/>
            <w:tcBorders>
              <w:top w:val="single" w:color="auto" w:sz="4" w:space="0"/>
              <w:left w:val="nil"/>
              <w:bottom w:val="single" w:color="auto" w:sz="4" w:space="0"/>
              <w:right w:val="single" w:color="auto" w:sz="4" w:space="0"/>
            </w:tcBorders>
            <w:vAlign w:val="center"/>
          </w:tcPr>
          <w:p>
            <w:pPr>
              <w:rPr>
                <w:rFonts w:hint="eastAsia"/>
                <w:color w:val="auto"/>
                <w:highlight w:val="none"/>
                <w:lang w:val="en-US" w:eastAsia="zh-CN"/>
              </w:rPr>
            </w:pPr>
            <w:r>
              <w:rPr>
                <w:rFonts w:hint="eastAsia"/>
                <w:color w:val="auto"/>
                <w:highlight w:val="none"/>
                <w:lang w:val="en-US" w:eastAsia="zh-CN"/>
              </w:rPr>
              <w:t>承诺物维资金存储利息收入最大化，进行综合评分。优得满分，良得70分，一般得40分。(不提供利率标准的不得分)。（小项满分为100分，最终得分×本小项权重比例）</w:t>
            </w:r>
          </w:p>
        </w:tc>
        <w:tc>
          <w:tcPr>
            <w:tcW w:w="784" w:type="dxa"/>
            <w:tcBorders>
              <w:top w:val="single" w:color="auto" w:sz="4" w:space="0"/>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CellMar>
            <w:top w:w="0" w:type="dxa"/>
            <w:left w:w="108" w:type="dxa"/>
            <w:bottom w:w="0" w:type="dxa"/>
            <w:right w:w="108" w:type="dxa"/>
          </w:tblCellMar>
        </w:tblPrEx>
        <w:trPr>
          <w:trHeight w:val="594" w:hRule="atLeast"/>
          <w:jc w:val="center"/>
        </w:trPr>
        <w:tc>
          <w:tcPr>
            <w:tcW w:w="382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合计</w:t>
            </w:r>
          </w:p>
        </w:tc>
        <w:tc>
          <w:tcPr>
            <w:tcW w:w="4912" w:type="dxa"/>
            <w:tcBorders>
              <w:top w:val="single" w:color="auto" w:sz="4" w:space="0"/>
              <w:left w:val="nil"/>
              <w:bottom w:val="single" w:color="auto" w:sz="4" w:space="0"/>
              <w:right w:val="single" w:color="auto" w:sz="4" w:space="0"/>
            </w:tcBorders>
            <w:vAlign w:val="center"/>
          </w:tcPr>
          <w:p>
            <w:pPr>
              <w:rPr>
                <w:rFonts w:hint="eastAsia"/>
                <w:color w:val="auto"/>
                <w:highlight w:val="none"/>
                <w:lang w:val="en-US" w:eastAsia="zh-CN"/>
              </w:rPr>
            </w:pPr>
          </w:p>
        </w:tc>
        <w:tc>
          <w:tcPr>
            <w:tcW w:w="784" w:type="dxa"/>
            <w:tcBorders>
              <w:top w:val="single" w:color="auto" w:sz="4" w:space="0"/>
              <w:left w:val="nil"/>
              <w:bottom w:val="single" w:color="auto" w:sz="4" w:space="0"/>
              <w:right w:val="single" w:color="auto" w:sz="4" w:space="0"/>
            </w:tcBorders>
            <w:vAlign w:val="center"/>
          </w:tcPr>
          <w:p>
            <w:pPr>
              <w:jc w:val="center"/>
              <w:rPr>
                <w:rFonts w:hint="eastAsia"/>
                <w:color w:val="auto"/>
                <w:highlight w:val="none"/>
                <w:lang w:val="en-US" w:eastAsia="zh-CN"/>
              </w:rPr>
            </w:pPr>
            <w:r>
              <w:rPr>
                <w:rFonts w:hint="eastAsia"/>
                <w:color w:val="auto"/>
                <w:highlight w:val="none"/>
                <w:lang w:val="en-US" w:eastAsia="zh-CN"/>
              </w:rPr>
              <w:t>50%</w:t>
            </w:r>
          </w:p>
        </w:tc>
      </w:tr>
    </w:tbl>
    <w:p>
      <w:pPr>
        <w:rPr>
          <w:rFonts w:hint="eastAsia"/>
          <w:color w:val="auto"/>
          <w:highlight w:val="none"/>
          <w:lang w:val="en-US" w:eastAsia="zh-CN"/>
        </w:rPr>
      </w:pPr>
    </w:p>
    <w:p>
      <w:pPr>
        <w:rPr>
          <w:rFonts w:hint="eastAsia"/>
          <w:color w:val="auto"/>
          <w:highlight w:val="none"/>
          <w:lang w:val="en-US" w:eastAsia="zh-CN"/>
        </w:rPr>
      </w:pPr>
      <w:r>
        <w:rPr>
          <w:rFonts w:hint="eastAsia"/>
          <w:color w:val="auto"/>
          <w:highlight w:val="none"/>
          <w:lang w:val="en-US" w:eastAsia="zh-CN"/>
        </w:rPr>
        <w:t>商务评分细则：</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77"/>
        <w:gridCol w:w="4925"/>
        <w:gridCol w:w="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rPr>
                <w:rFonts w:hint="eastAsia"/>
                <w:color w:val="auto"/>
                <w:highlight w:val="none"/>
                <w:lang w:val="en-US" w:eastAsia="zh-CN"/>
              </w:rPr>
            </w:pPr>
            <w:r>
              <w:rPr>
                <w:rFonts w:hint="eastAsia"/>
                <w:color w:val="auto"/>
                <w:highlight w:val="none"/>
                <w:lang w:val="en-US" w:eastAsia="zh-CN"/>
              </w:rPr>
              <w:t>项目</w:t>
            </w:r>
          </w:p>
        </w:tc>
        <w:tc>
          <w:tcPr>
            <w:tcW w:w="2577" w:type="dxa"/>
            <w:noWrap w:val="0"/>
            <w:vAlign w:val="center"/>
          </w:tcPr>
          <w:p>
            <w:pPr>
              <w:rPr>
                <w:rFonts w:hint="eastAsia"/>
                <w:color w:val="auto"/>
                <w:highlight w:val="none"/>
                <w:lang w:val="en-US" w:eastAsia="zh-CN"/>
              </w:rPr>
            </w:pPr>
            <w:r>
              <w:rPr>
                <w:rFonts w:hint="eastAsia"/>
                <w:color w:val="auto"/>
                <w:highlight w:val="none"/>
                <w:lang w:val="en-US" w:eastAsia="zh-CN"/>
              </w:rPr>
              <w:t>评审指标</w:t>
            </w:r>
          </w:p>
        </w:tc>
        <w:tc>
          <w:tcPr>
            <w:tcW w:w="4925" w:type="dxa"/>
            <w:noWrap w:val="0"/>
            <w:vAlign w:val="center"/>
          </w:tcPr>
          <w:p>
            <w:pPr>
              <w:rPr>
                <w:rFonts w:hint="eastAsia"/>
                <w:color w:val="auto"/>
                <w:highlight w:val="none"/>
                <w:lang w:val="en-US" w:eastAsia="zh-CN"/>
              </w:rPr>
            </w:pPr>
            <w:r>
              <w:rPr>
                <w:rFonts w:hint="eastAsia"/>
                <w:color w:val="auto"/>
                <w:highlight w:val="none"/>
                <w:lang w:val="en-US" w:eastAsia="zh-CN"/>
              </w:rPr>
              <w:t>评分说明</w:t>
            </w:r>
          </w:p>
        </w:tc>
        <w:tc>
          <w:tcPr>
            <w:tcW w:w="778" w:type="dxa"/>
            <w:noWrap w:val="0"/>
            <w:vAlign w:val="center"/>
          </w:tcPr>
          <w:p>
            <w:pPr>
              <w:rPr>
                <w:rFonts w:hint="eastAsia"/>
                <w:color w:val="auto"/>
                <w:highlight w:val="none"/>
                <w:lang w:val="en-US" w:eastAsia="zh-CN"/>
              </w:rPr>
            </w:pPr>
            <w:r>
              <w:rPr>
                <w:rFonts w:hint="eastAsia"/>
                <w:color w:val="auto"/>
                <w:highlight w:val="none"/>
                <w:lang w:val="en-US" w:eastAsia="zh-CN"/>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vMerge w:val="restart"/>
            <w:noWrap w:val="0"/>
            <w:vAlign w:val="center"/>
          </w:tcPr>
          <w:p>
            <w:pPr>
              <w:rPr>
                <w:rFonts w:hint="eastAsia"/>
                <w:color w:val="auto"/>
                <w:highlight w:val="none"/>
                <w:lang w:val="en-US" w:eastAsia="zh-CN"/>
              </w:rPr>
            </w:pPr>
            <w:r>
              <w:rPr>
                <w:rFonts w:hint="eastAsia"/>
                <w:color w:val="auto"/>
                <w:highlight w:val="none"/>
                <w:lang w:val="en-US" w:eastAsia="zh-CN"/>
              </w:rPr>
              <w:t>经营状况及安全性指标（全市数据）</w:t>
            </w:r>
          </w:p>
        </w:tc>
        <w:tc>
          <w:tcPr>
            <w:tcW w:w="2577" w:type="dxa"/>
            <w:noWrap w:val="0"/>
            <w:vAlign w:val="center"/>
          </w:tcPr>
          <w:p>
            <w:pPr>
              <w:rPr>
                <w:rFonts w:hint="eastAsia"/>
                <w:color w:val="auto"/>
                <w:highlight w:val="none"/>
                <w:lang w:val="en-US" w:eastAsia="zh-CN"/>
              </w:rPr>
            </w:pPr>
            <w:r>
              <w:rPr>
                <w:rFonts w:hint="eastAsia"/>
                <w:color w:val="auto"/>
                <w:highlight w:val="none"/>
                <w:lang w:val="en-US" w:eastAsia="zh-CN"/>
              </w:rPr>
              <w:t>1.各项存款，截止2021年12月31日投标人的各项存款余额。</w:t>
            </w:r>
          </w:p>
        </w:tc>
        <w:tc>
          <w:tcPr>
            <w:tcW w:w="4925" w:type="dxa"/>
            <w:noWrap w:val="0"/>
            <w:vAlign w:val="center"/>
          </w:tcPr>
          <w:p>
            <w:pPr>
              <w:rPr>
                <w:rFonts w:hint="eastAsia"/>
                <w:color w:val="auto"/>
                <w:highlight w:val="none"/>
                <w:lang w:val="en-US" w:eastAsia="zh-CN"/>
              </w:rPr>
            </w:pPr>
            <w:r>
              <w:rPr>
                <w:rFonts w:hint="eastAsia"/>
                <w:color w:val="auto"/>
                <w:highlight w:val="none"/>
                <w:lang w:val="en-US" w:eastAsia="zh-CN"/>
              </w:rPr>
              <w:t>各项存款余额最高者得满分，投标人之间进行综合评分，数值相对最高者每低1个百分点扣1分，满分为100分。（投标人须如实反映相关数据，如查实虚报数据，保留追究法律责任的权利）（本小项满分为100分，最终得分×本小项权重比例）</w:t>
            </w:r>
          </w:p>
        </w:tc>
        <w:tc>
          <w:tcPr>
            <w:tcW w:w="778" w:type="dxa"/>
            <w:noWrap w:val="0"/>
            <w:vAlign w:val="center"/>
          </w:tcPr>
          <w:p>
            <w:pPr>
              <w:jc w:val="center"/>
              <w:rPr>
                <w:rFonts w:hint="eastAsia"/>
                <w:color w:val="auto"/>
                <w:highlight w:val="none"/>
                <w:lang w:val="en-US" w:eastAsia="zh-CN"/>
              </w:rPr>
            </w:pPr>
            <w:r>
              <w:rPr>
                <w:rFonts w:hint="eastAsia"/>
                <w:color w:val="auto"/>
                <w:highlight w:val="no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vMerge w:val="continue"/>
            <w:noWrap w:val="0"/>
            <w:vAlign w:val="center"/>
          </w:tcPr>
          <w:p>
            <w:pPr>
              <w:rPr>
                <w:rFonts w:hint="eastAsia"/>
                <w:color w:val="auto"/>
                <w:highlight w:val="none"/>
                <w:lang w:val="en-US" w:eastAsia="zh-CN"/>
              </w:rPr>
            </w:pPr>
          </w:p>
        </w:tc>
        <w:tc>
          <w:tcPr>
            <w:tcW w:w="2577" w:type="dxa"/>
            <w:noWrap w:val="0"/>
            <w:vAlign w:val="center"/>
          </w:tcPr>
          <w:p>
            <w:pPr>
              <w:rPr>
                <w:rFonts w:hint="eastAsia"/>
                <w:color w:val="auto"/>
                <w:highlight w:val="none"/>
                <w:lang w:val="en-US" w:eastAsia="zh-CN"/>
              </w:rPr>
            </w:pPr>
            <w:r>
              <w:rPr>
                <w:rFonts w:hint="eastAsia"/>
                <w:color w:val="auto"/>
                <w:highlight w:val="none"/>
                <w:lang w:val="en-US" w:eastAsia="zh-CN"/>
              </w:rPr>
              <w:t>2.各项贷款，截止2021年12月31日投标人的贷款余额。</w:t>
            </w:r>
          </w:p>
        </w:tc>
        <w:tc>
          <w:tcPr>
            <w:tcW w:w="4925" w:type="dxa"/>
            <w:noWrap w:val="0"/>
            <w:vAlign w:val="center"/>
          </w:tcPr>
          <w:p>
            <w:pPr>
              <w:rPr>
                <w:rFonts w:hint="eastAsia"/>
                <w:color w:val="auto"/>
                <w:highlight w:val="none"/>
                <w:lang w:val="en-US" w:eastAsia="zh-CN"/>
              </w:rPr>
            </w:pPr>
            <w:r>
              <w:rPr>
                <w:rFonts w:hint="eastAsia"/>
                <w:color w:val="auto"/>
                <w:highlight w:val="none"/>
                <w:lang w:val="en-US" w:eastAsia="zh-CN"/>
              </w:rPr>
              <w:t>各项贷款总额最高者得满分，投标人之间进行综合评分，数值相对最高者每低1个百分点扣1分，满分为100分。（投标人须如实反映相关数据，如查实虚报数据，保留追究法律责任的权利）（本小项满分为100分，最终得分×本小项权重比例）</w:t>
            </w:r>
          </w:p>
        </w:tc>
        <w:tc>
          <w:tcPr>
            <w:tcW w:w="778" w:type="dxa"/>
            <w:noWrap w:val="0"/>
            <w:vAlign w:val="center"/>
          </w:tcPr>
          <w:p>
            <w:pPr>
              <w:jc w:val="center"/>
              <w:rPr>
                <w:rFonts w:hint="eastAsia"/>
                <w:color w:val="auto"/>
                <w:highlight w:val="none"/>
                <w:lang w:val="en-US" w:eastAsia="zh-CN"/>
              </w:rPr>
            </w:pPr>
            <w:r>
              <w:rPr>
                <w:rFonts w:hint="eastAsia"/>
                <w:color w:val="auto"/>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vMerge w:val="continue"/>
            <w:noWrap w:val="0"/>
            <w:vAlign w:val="center"/>
          </w:tcPr>
          <w:p>
            <w:pPr>
              <w:rPr>
                <w:rFonts w:hint="eastAsia"/>
                <w:color w:val="auto"/>
                <w:highlight w:val="none"/>
                <w:lang w:val="en-US" w:eastAsia="zh-CN"/>
              </w:rPr>
            </w:pPr>
          </w:p>
        </w:tc>
        <w:tc>
          <w:tcPr>
            <w:tcW w:w="2577" w:type="dxa"/>
            <w:noWrap w:val="0"/>
            <w:vAlign w:val="center"/>
          </w:tcPr>
          <w:p>
            <w:pPr>
              <w:rPr>
                <w:rFonts w:hint="eastAsia"/>
                <w:color w:val="auto"/>
                <w:highlight w:val="none"/>
                <w:lang w:val="en-US" w:eastAsia="zh-CN"/>
              </w:rPr>
            </w:pPr>
            <w:r>
              <w:rPr>
                <w:rFonts w:hint="eastAsia"/>
                <w:color w:val="auto"/>
                <w:highlight w:val="none"/>
                <w:lang w:val="en-US" w:eastAsia="zh-CN"/>
              </w:rPr>
              <w:t>3.不良贷款率，截止2021年12月31日投标人的不良贷款率（不良贷款余额/各项贷款）。</w:t>
            </w:r>
          </w:p>
        </w:tc>
        <w:tc>
          <w:tcPr>
            <w:tcW w:w="4925" w:type="dxa"/>
            <w:noWrap w:val="0"/>
            <w:vAlign w:val="center"/>
          </w:tcPr>
          <w:p>
            <w:pPr>
              <w:rPr>
                <w:rFonts w:hint="eastAsia"/>
                <w:color w:val="auto"/>
                <w:highlight w:val="none"/>
                <w:lang w:val="en-US" w:eastAsia="zh-CN"/>
              </w:rPr>
            </w:pPr>
            <w:r>
              <w:rPr>
                <w:rFonts w:hint="eastAsia"/>
                <w:color w:val="auto"/>
                <w:highlight w:val="none"/>
                <w:lang w:val="en-US" w:eastAsia="zh-CN"/>
              </w:rPr>
              <w:t>投标人不良贷款率最低者得满分，投标人之间进行综合评分。数值相对最低者每高0.1扣1分，满分为100分。（投标人须如实反映相关数据，如查实虚报数据，保留追究法律责任的权利）（本小项满分为100分，最终得分×本小项权重比例）</w:t>
            </w:r>
          </w:p>
        </w:tc>
        <w:tc>
          <w:tcPr>
            <w:tcW w:w="778" w:type="dxa"/>
            <w:noWrap w:val="0"/>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227" w:type="dxa"/>
            <w:vMerge w:val="continue"/>
            <w:noWrap w:val="0"/>
            <w:vAlign w:val="center"/>
          </w:tcPr>
          <w:p>
            <w:pPr>
              <w:rPr>
                <w:rFonts w:hint="eastAsia"/>
                <w:color w:val="auto"/>
                <w:highlight w:val="none"/>
                <w:lang w:val="en-US" w:eastAsia="zh-CN"/>
              </w:rPr>
            </w:pPr>
          </w:p>
        </w:tc>
        <w:tc>
          <w:tcPr>
            <w:tcW w:w="2577" w:type="dxa"/>
            <w:noWrap w:val="0"/>
            <w:vAlign w:val="center"/>
          </w:tcPr>
          <w:p>
            <w:pPr>
              <w:rPr>
                <w:rFonts w:hint="eastAsia"/>
                <w:color w:val="auto"/>
                <w:highlight w:val="none"/>
                <w:lang w:val="en-US" w:eastAsia="zh-CN"/>
              </w:rPr>
            </w:pPr>
            <w:r>
              <w:rPr>
                <w:rFonts w:hint="eastAsia"/>
                <w:color w:val="auto"/>
                <w:highlight w:val="none"/>
                <w:lang w:val="en-US" w:eastAsia="zh-CN"/>
              </w:rPr>
              <w:t>4.阳江市银行业机构综合评级。（投标人无综合评级以所在分行在中国人民银行阳江市中心支行综合评级为准）</w:t>
            </w:r>
          </w:p>
        </w:tc>
        <w:tc>
          <w:tcPr>
            <w:tcW w:w="4925" w:type="dxa"/>
            <w:noWrap w:val="0"/>
            <w:vAlign w:val="center"/>
          </w:tcPr>
          <w:p>
            <w:pPr>
              <w:rPr>
                <w:rFonts w:hint="eastAsia"/>
                <w:color w:val="auto"/>
                <w:highlight w:val="none"/>
                <w:lang w:val="en-US" w:eastAsia="zh-CN"/>
              </w:rPr>
            </w:pPr>
            <w:r>
              <w:rPr>
                <w:rFonts w:hint="eastAsia"/>
                <w:color w:val="auto"/>
                <w:highlight w:val="none"/>
                <w:lang w:val="en-US" w:eastAsia="zh-CN"/>
              </w:rPr>
              <w:t>2021年度阳江市银行业机构综合评级为A+得满分，为A-得50分，B+级及以下得0分。（以中国人民银行阳江市中心支行评级通报文件为准）（本小项满分为100分，最终得分×本小项权重比例）</w:t>
            </w:r>
          </w:p>
        </w:tc>
        <w:tc>
          <w:tcPr>
            <w:tcW w:w="778" w:type="dxa"/>
            <w:noWrap w:val="0"/>
            <w:vAlign w:val="center"/>
          </w:tcPr>
          <w:p>
            <w:pPr>
              <w:jc w:val="center"/>
              <w:rPr>
                <w:rFonts w:hint="eastAsia"/>
                <w:color w:val="auto"/>
                <w:highlight w:val="none"/>
                <w:lang w:val="en-US" w:eastAsia="zh-CN"/>
              </w:rPr>
            </w:pPr>
            <w:r>
              <w:rPr>
                <w:rFonts w:hint="eastAsia"/>
                <w:color w:val="auto"/>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804" w:type="dxa"/>
            <w:gridSpan w:val="2"/>
            <w:noWrap w:val="0"/>
            <w:vAlign w:val="center"/>
          </w:tcPr>
          <w:p>
            <w:pPr>
              <w:jc w:val="center"/>
              <w:rPr>
                <w:rFonts w:hint="eastAsia"/>
                <w:color w:val="auto"/>
                <w:highlight w:val="none"/>
                <w:lang w:val="en-US" w:eastAsia="zh-CN"/>
              </w:rPr>
            </w:pPr>
            <w:r>
              <w:rPr>
                <w:rFonts w:hint="eastAsia"/>
                <w:color w:val="auto"/>
                <w:highlight w:val="none"/>
                <w:lang w:val="en-US" w:eastAsia="zh-CN"/>
              </w:rPr>
              <w:t>合计</w:t>
            </w:r>
          </w:p>
        </w:tc>
        <w:tc>
          <w:tcPr>
            <w:tcW w:w="4925" w:type="dxa"/>
            <w:noWrap w:val="0"/>
            <w:vAlign w:val="center"/>
          </w:tcPr>
          <w:p>
            <w:pPr>
              <w:rPr>
                <w:rFonts w:hint="eastAsia"/>
                <w:color w:val="auto"/>
                <w:highlight w:val="none"/>
                <w:lang w:val="en-US" w:eastAsia="zh-CN"/>
              </w:rPr>
            </w:pPr>
          </w:p>
        </w:tc>
        <w:tc>
          <w:tcPr>
            <w:tcW w:w="778" w:type="dxa"/>
            <w:noWrap w:val="0"/>
            <w:vAlign w:val="center"/>
          </w:tcPr>
          <w:p>
            <w:pPr>
              <w:jc w:val="center"/>
              <w:rPr>
                <w:rFonts w:hint="eastAsia"/>
                <w:color w:val="auto"/>
                <w:highlight w:val="none"/>
                <w:lang w:val="en-US" w:eastAsia="zh-CN"/>
              </w:rPr>
            </w:pPr>
            <w:r>
              <w:rPr>
                <w:rFonts w:hint="eastAsia"/>
                <w:color w:val="auto"/>
                <w:highlight w:val="none"/>
                <w:lang w:val="en-US" w:eastAsia="zh-CN"/>
              </w:rPr>
              <w:t>50%</w:t>
            </w:r>
          </w:p>
        </w:tc>
      </w:tr>
    </w:tbl>
    <w:p>
      <w:pPr>
        <w:rPr>
          <w:rFonts w:hint="eastAsia"/>
          <w:color w:val="auto"/>
          <w:highlight w:val="none"/>
          <w:lang w:val="en-US" w:eastAsia="zh-CN"/>
        </w:rPr>
      </w:pPr>
    </w:p>
    <w:p>
      <w:pPr>
        <w:rPr>
          <w:rFonts w:hint="eastAsia"/>
          <w:color w:val="auto"/>
          <w:highlight w:val="none"/>
          <w:lang w:val="en-US" w:eastAsia="zh-CN"/>
        </w:rPr>
      </w:pPr>
      <w:r>
        <w:rPr>
          <w:rFonts w:hint="eastAsia"/>
          <w:color w:val="auto"/>
          <w:highlight w:val="none"/>
          <w:lang w:val="en-US" w:eastAsia="zh-CN"/>
        </w:rPr>
        <w:t>注：对照每项评价指标要求，投标文件完全不满足要求的，不得分。</w:t>
      </w:r>
    </w:p>
    <w:p>
      <w:pPr>
        <w:rPr>
          <w:rFonts w:hint="eastAsia"/>
          <w:color w:val="auto"/>
          <w:highlight w:val="none"/>
        </w:rPr>
      </w:pPr>
      <w:r>
        <w:rPr>
          <w:rFonts w:hint="eastAsia"/>
          <w:color w:val="auto"/>
          <w:highlight w:val="none"/>
        </w:rPr>
        <w:br w:type="page"/>
      </w:r>
    </w:p>
    <w:p>
      <w:pPr>
        <w:pStyle w:val="3"/>
        <w:numPr>
          <w:ilvl w:val="0"/>
          <w:numId w:val="0"/>
        </w:numPr>
        <w:spacing w:beforeLines="0"/>
        <w:rPr>
          <w:color w:val="auto"/>
          <w:highlight w:val="none"/>
        </w:rPr>
      </w:pPr>
      <w:bookmarkStart w:id="1610" w:name="_Toc9658"/>
      <w:r>
        <w:rPr>
          <w:rFonts w:hint="eastAsia"/>
          <w:color w:val="auto"/>
          <w:highlight w:val="none"/>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auto"/>
          <w:highlight w:val="none"/>
        </w:rPr>
        <w:t>（参考范本）</w:t>
      </w:r>
      <w:bookmarkEnd w:id="1610"/>
    </w:p>
    <w:p>
      <w:pPr>
        <w:rPr>
          <w:bCs/>
          <w:color w:val="auto"/>
          <w:highlight w:val="none"/>
        </w:rPr>
      </w:pPr>
    </w:p>
    <w:p>
      <w:pPr>
        <w:rPr>
          <w:color w:val="auto"/>
          <w:highlight w:val="none"/>
        </w:rPr>
      </w:pPr>
    </w:p>
    <w:p>
      <w:pPr>
        <w:jc w:val="center"/>
        <w:rPr>
          <w:rFonts w:hint="eastAsia" w:ascii="宋体" w:hAnsi="宋体"/>
          <w:b/>
          <w:color w:val="auto"/>
          <w:sz w:val="30"/>
          <w:szCs w:val="30"/>
          <w:highlight w:val="none"/>
        </w:rPr>
      </w:pPr>
    </w:p>
    <w:p>
      <w:pPr>
        <w:jc w:val="center"/>
        <w:rPr>
          <w:rFonts w:hint="eastAsia" w:ascii="宋体" w:hAnsi="宋体"/>
          <w:b/>
          <w:color w:val="auto"/>
          <w:sz w:val="36"/>
          <w:szCs w:val="36"/>
          <w:highlight w:val="none"/>
        </w:rPr>
      </w:pPr>
    </w:p>
    <w:p>
      <w:pPr>
        <w:pStyle w:val="53"/>
        <w:rPr>
          <w:rFonts w:hint="eastAsia" w:ascii="宋体" w:hAnsi="宋体"/>
          <w:b/>
          <w:color w:val="auto"/>
          <w:sz w:val="36"/>
          <w:szCs w:val="36"/>
          <w:highlight w:val="none"/>
        </w:rPr>
      </w:pPr>
    </w:p>
    <w:p>
      <w:pPr>
        <w:pStyle w:val="53"/>
        <w:rPr>
          <w:rFonts w:hint="eastAsia" w:ascii="宋体" w:hAnsi="宋体"/>
          <w:b/>
          <w:color w:val="auto"/>
          <w:sz w:val="36"/>
          <w:szCs w:val="36"/>
          <w:highlight w:val="none"/>
        </w:rPr>
      </w:pPr>
    </w:p>
    <w:p>
      <w:pPr>
        <w:pStyle w:val="53"/>
        <w:rPr>
          <w:rFonts w:hint="eastAsia" w:ascii="宋体" w:hAnsi="宋体"/>
          <w:b/>
          <w:color w:val="auto"/>
          <w:sz w:val="36"/>
          <w:szCs w:val="36"/>
          <w:highlight w:val="none"/>
        </w:rPr>
      </w:pPr>
    </w:p>
    <w:p>
      <w:pPr>
        <w:pStyle w:val="53"/>
        <w:rPr>
          <w:rFonts w:hint="eastAsia" w:ascii="宋体" w:hAnsi="宋体"/>
          <w:b/>
          <w:color w:val="auto"/>
          <w:sz w:val="36"/>
          <w:szCs w:val="36"/>
          <w:highlight w:val="none"/>
        </w:rPr>
      </w:pPr>
    </w:p>
    <w:p>
      <w:pPr>
        <w:jc w:val="center"/>
        <w:rPr>
          <w:rFonts w:hint="eastAsia" w:ascii="宋体" w:hAnsi="宋体"/>
          <w:b/>
          <w:color w:val="auto"/>
          <w:sz w:val="72"/>
          <w:szCs w:val="72"/>
          <w:highlight w:val="none"/>
        </w:rPr>
      </w:pPr>
      <w:r>
        <w:rPr>
          <w:rFonts w:hint="eastAsia" w:ascii="宋体" w:hAnsi="宋体"/>
          <w:b/>
          <w:color w:val="auto"/>
          <w:sz w:val="72"/>
          <w:szCs w:val="72"/>
          <w:highlight w:val="none"/>
        </w:rPr>
        <w:t>合 同 书</w:t>
      </w: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采购编号：</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Cs w:val="21"/>
          <w:highlight w:val="none"/>
        </w:rPr>
      </w:pPr>
      <w:r>
        <w:rPr>
          <w:rFonts w:hint="eastAsia" w:ascii="宋体" w:hAnsi="宋体"/>
          <w:b/>
          <w:color w:val="auto"/>
          <w:szCs w:val="21"/>
          <w:highlight w:val="none"/>
        </w:rPr>
        <w:t>注：本合同仅为合同草案文本，合同签订双方可根据项目的具体要求进行修订和细化。</w:t>
      </w:r>
    </w:p>
    <w:p>
      <w:pPr>
        <w:ind w:firstLine="5670" w:firstLineChars="2700"/>
        <w:rPr>
          <w:rFonts w:hint="eastAsia" w:ascii="宋体" w:hAnsi="宋体"/>
          <w:color w:val="auto"/>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    方：</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乙    方：</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根据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项目（采购编号：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）的采购结果</w:t>
      </w:r>
      <w:r>
        <w:rPr>
          <w:rFonts w:hint="eastAsia" w:ascii="宋体" w:hAnsi="宋体" w:eastAsia="宋体" w:cs="宋体"/>
          <w:color w:val="auto"/>
          <w:sz w:val="21"/>
          <w:szCs w:val="21"/>
          <w:highlight w:val="none"/>
          <w:lang w:val="en-US" w:eastAsia="zh-CN"/>
        </w:rPr>
        <w:t>及</w:t>
      </w:r>
      <w:r>
        <w:rPr>
          <w:rFonts w:hint="eastAsia" w:ascii="宋体" w:hAnsi="宋体" w:eastAsia="宋体" w:cs="宋体"/>
          <w:color w:val="auto"/>
          <w:sz w:val="21"/>
          <w:szCs w:val="21"/>
          <w:highlight w:val="none"/>
        </w:rPr>
        <w:t>招标投标文件中的相关约定，按照《中华人民共和国政府采购法》、</w:t>
      </w:r>
      <w:r>
        <w:rPr>
          <w:rFonts w:hint="eastAsia" w:ascii="宋体" w:hAnsi="宋体" w:cs="宋体"/>
          <w:color w:val="auto"/>
          <w:sz w:val="21"/>
          <w:szCs w:val="21"/>
          <w:highlight w:val="none"/>
          <w:lang w:eastAsia="zh-CN"/>
        </w:rPr>
        <w:t>《中华人民共和国民法典》</w:t>
      </w:r>
      <w:r>
        <w:rPr>
          <w:rFonts w:hint="eastAsia" w:ascii="宋体" w:hAnsi="宋体" w:eastAsia="宋体" w:cs="宋体"/>
          <w:color w:val="auto"/>
          <w:sz w:val="21"/>
          <w:szCs w:val="21"/>
          <w:highlight w:val="none"/>
        </w:rPr>
        <w:t>的规定，</w:t>
      </w:r>
      <w:r>
        <w:rPr>
          <w:rFonts w:hint="eastAsia" w:ascii="宋体" w:hAnsi="宋体" w:eastAsia="宋体" w:cs="宋体"/>
          <w:color w:val="auto"/>
          <w:kern w:val="28"/>
          <w:sz w:val="21"/>
          <w:szCs w:val="21"/>
          <w:highlight w:val="none"/>
        </w:rPr>
        <w:t>经双方协商，</w:t>
      </w:r>
      <w:r>
        <w:rPr>
          <w:rFonts w:hint="eastAsia" w:ascii="宋体" w:hAnsi="宋体" w:eastAsia="宋体" w:cs="宋体"/>
          <w:color w:val="auto"/>
          <w:sz w:val="21"/>
          <w:szCs w:val="21"/>
          <w:highlight w:val="none"/>
        </w:rPr>
        <w:t>本着平等互利和诚实信用的原则，</w:t>
      </w:r>
      <w:r>
        <w:rPr>
          <w:rFonts w:hint="eastAsia" w:ascii="宋体" w:hAnsi="宋体" w:eastAsia="宋体" w:cs="宋体"/>
          <w:color w:val="auto"/>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合同金额为人民币（大写</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甲方聘请乙方提供以下服务：</w:t>
      </w:r>
    </w:p>
    <w:p>
      <w:pPr>
        <w:keepNext w:val="0"/>
        <w:keepLines w:val="0"/>
        <w:pageBreakBefore w:val="0"/>
        <w:widowControl w:val="0"/>
        <w:numPr>
          <w:ilvl w:val="0"/>
          <w:numId w:val="30"/>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val="en-US" w:eastAsia="zh-CN"/>
        </w:rPr>
        <w:t xml:space="preserve">             </w:t>
      </w:r>
    </w:p>
    <w:p>
      <w:pPr>
        <w:keepNext w:val="0"/>
        <w:keepLines w:val="0"/>
        <w:pageBreakBefore w:val="0"/>
        <w:widowControl w:val="0"/>
        <w:numPr>
          <w:ilvl w:val="0"/>
          <w:numId w:val="30"/>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eastAsia="宋体"/>
          <w:b/>
          <w:bCs/>
          <w:color w:val="auto"/>
          <w:highlight w:val="none"/>
          <w:lang w:val="en-US" w:eastAsia="zh-CN"/>
        </w:rPr>
        <w:t>三、</w:t>
      </w:r>
      <w:r>
        <w:rPr>
          <w:rFonts w:hint="eastAsia" w:ascii="宋体" w:hAnsi="宋体" w:eastAsia="宋体" w:cs="宋体"/>
          <w:b/>
          <w:bCs/>
          <w:color w:val="auto"/>
          <w:sz w:val="21"/>
          <w:szCs w:val="21"/>
          <w:highlight w:val="none"/>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 xml:space="preserve">委托服务期间自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年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月至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年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 知识产权归属</w:t>
      </w:r>
    </w:p>
    <w:p>
      <w:pPr>
        <w:pStyle w:val="53"/>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七 、 保 密</w:t>
      </w:r>
    </w:p>
    <w:p>
      <w:pPr>
        <w:pStyle w:val="53"/>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八、 违约责任与赔偿损失</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其它违约责任按</w:t>
      </w:r>
      <w:r>
        <w:rPr>
          <w:rFonts w:hint="eastAsia" w:ascii="宋体" w:hAnsi="宋体" w:cs="宋体"/>
          <w:color w:val="auto"/>
          <w:sz w:val="21"/>
          <w:szCs w:val="21"/>
          <w:highlight w:val="none"/>
          <w:lang w:eastAsia="zh-CN"/>
        </w:rPr>
        <w:t>《中华人民共和国民法典》</w:t>
      </w:r>
      <w:r>
        <w:rPr>
          <w:rFonts w:hint="eastAsia" w:ascii="宋体" w:hAnsi="宋体" w:eastAsia="宋体" w:cs="宋体"/>
          <w:color w:val="auto"/>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十二、 其它</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本合同所有附件、招标文件、投标文件、中标通知书均为合同的有效组成部分，与本合同具有同等法律效力。</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十三、</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合同生效</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本合同在甲乙双方法人代表或其授权代表签字盖章后生效。</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合同一式 </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rPr>
        <w:t>份。</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本项目合同订立后，应提供</w:t>
      </w:r>
      <w:r>
        <w:rPr>
          <w:rFonts w:hint="eastAsia" w:ascii="宋体" w:hAnsi="宋体" w:eastAsia="宋体" w:cs="宋体"/>
          <w:color w:val="auto"/>
          <w:sz w:val="21"/>
          <w:szCs w:val="21"/>
          <w:highlight w:val="none"/>
          <w:lang w:val="en-US" w:eastAsia="zh-CN"/>
        </w:rPr>
        <w:t>一份</w:t>
      </w:r>
      <w:r>
        <w:rPr>
          <w:rFonts w:hint="eastAsia" w:ascii="宋体" w:hAnsi="宋体" w:eastAsia="宋体" w:cs="宋体"/>
          <w:color w:val="auto"/>
          <w:sz w:val="21"/>
          <w:szCs w:val="21"/>
          <w:highlight w:val="none"/>
        </w:rPr>
        <w:t>至</w:t>
      </w:r>
      <w:r>
        <w:rPr>
          <w:rFonts w:hint="eastAsia" w:ascii="宋体" w:hAnsi="宋体" w:cs="宋体"/>
          <w:color w:val="auto"/>
          <w:sz w:val="21"/>
          <w:szCs w:val="21"/>
          <w:highlight w:val="none"/>
          <w:u w:val="single"/>
          <w:lang w:eastAsia="zh-CN"/>
        </w:rPr>
        <w:t>广东业信招标有限公司</w:t>
      </w:r>
      <w:r>
        <w:rPr>
          <w:rFonts w:hint="eastAsia" w:ascii="宋体" w:hAnsi="宋体" w:eastAsia="宋体" w:cs="宋体"/>
          <w:color w:val="auto"/>
          <w:sz w:val="21"/>
          <w:szCs w:val="21"/>
          <w:highlight w:val="none"/>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auto"/>
          <w:szCs w:val="21"/>
          <w:highlight w:val="none"/>
        </w:rPr>
      </w:pPr>
      <w:r>
        <w:rPr>
          <w:rFonts w:hint="eastAsia" w:ascii="宋体" w:hAnsi="宋体" w:eastAsia="宋体" w:cs="宋体"/>
          <w:color w:val="auto"/>
          <w:sz w:val="21"/>
          <w:szCs w:val="21"/>
          <w:highlight w:val="none"/>
        </w:rPr>
        <w:t>开 户 行：</w:t>
      </w:r>
    </w:p>
    <w:p>
      <w:pPr>
        <w:rPr>
          <w:color w:val="auto"/>
          <w:highlight w:val="none"/>
        </w:rPr>
      </w:pPr>
    </w:p>
    <w:p>
      <w:pPr>
        <w:tabs>
          <w:tab w:val="left" w:pos="1004"/>
        </w:tabs>
        <w:spacing w:line="440" w:lineRule="exact"/>
        <w:ind w:right="31" w:rightChars="15"/>
        <w:rPr>
          <w:rFonts w:ascii="宋体" w:hAnsi="宋体"/>
          <w:b/>
          <w:bCs/>
          <w:color w:val="auto"/>
          <w:szCs w:val="21"/>
          <w:highlight w:val="none"/>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auto"/>
          <w:highlight w:val="none"/>
        </w:rPr>
      </w:pPr>
      <w:bookmarkStart w:id="1612" w:name="_Toc331684048"/>
      <w:bookmarkStart w:id="1613" w:name="_Toc330459995"/>
      <w:bookmarkStart w:id="1614" w:name="_Toc365967082"/>
      <w:bookmarkStart w:id="1615" w:name="_Toc333238643"/>
      <w:bookmarkStart w:id="1616" w:name="_Toc339362310"/>
      <w:bookmarkStart w:id="1617" w:name="_Toc339441097"/>
      <w:bookmarkStart w:id="1618" w:name="_Toc350438759"/>
      <w:bookmarkStart w:id="1619" w:name="_Toc349143599"/>
      <w:bookmarkStart w:id="1620" w:name="_Toc331512908"/>
      <w:bookmarkStart w:id="1621" w:name="_Toc333935697"/>
      <w:bookmarkStart w:id="1622" w:name="_Toc341348348"/>
      <w:bookmarkStart w:id="1623" w:name="_Toc350756460"/>
      <w:bookmarkStart w:id="1624" w:name="_Toc365985188"/>
      <w:bookmarkStart w:id="1625" w:name="_Toc340507452"/>
      <w:bookmarkStart w:id="1626" w:name="_Toc340672879"/>
      <w:bookmarkStart w:id="1627" w:name="_Toc337632368"/>
      <w:bookmarkStart w:id="1628" w:name="_Toc336681945"/>
      <w:bookmarkStart w:id="1629" w:name="_Toc339020025"/>
      <w:bookmarkStart w:id="1630" w:name="_Toc333237798"/>
      <w:bookmarkStart w:id="1631" w:name="_Toc342296770"/>
      <w:bookmarkStart w:id="1632" w:name="_Toc366072539"/>
      <w:bookmarkStart w:id="1633" w:name="_Toc332206718"/>
      <w:bookmarkStart w:id="1634" w:name="_Toc491658678"/>
      <w:bookmarkStart w:id="1635" w:name="_Toc339019899"/>
      <w:bookmarkStart w:id="1636" w:name="_Toc500861025"/>
      <w:bookmarkStart w:id="1637" w:name="_Toc345513911"/>
      <w:bookmarkStart w:id="1638" w:name="_Toc336681590"/>
      <w:bookmarkStart w:id="1639" w:name="_Toc332270356"/>
      <w:bookmarkStart w:id="1640" w:name="_Toc339020243"/>
      <w:bookmarkStart w:id="1641" w:name="_Toc342060384"/>
      <w:bookmarkStart w:id="1642" w:name="_Toc349127636"/>
      <w:bookmarkStart w:id="1643" w:name="_Toc333935356"/>
      <w:bookmarkStart w:id="1644" w:name="_Toc333237687"/>
      <w:bookmarkStart w:id="1645" w:name="_Toc339020105"/>
      <w:bookmarkStart w:id="1646" w:name="_Toc340677080"/>
      <w:bookmarkStart w:id="1647" w:name="_Toc31142"/>
      <w:r>
        <w:rPr>
          <w:rFonts w:hint="eastAsia"/>
          <w:color w:val="auto"/>
          <w:highlight w:val="none"/>
        </w:rPr>
        <w:t>第五部分</w:t>
      </w:r>
      <w:bookmarkStart w:id="1648" w:name="_Hlt97188172"/>
      <w:bookmarkEnd w:id="1648"/>
      <w:r>
        <w:rPr>
          <w:rFonts w:hint="eastAsia"/>
          <w:color w:val="auto"/>
          <w:highlight w:val="none"/>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4"/>
        <w:numPr>
          <w:ilvl w:val="0"/>
          <w:numId w:val="0"/>
        </w:numPr>
        <w:rPr>
          <w:color w:val="auto"/>
          <w:sz w:val="24"/>
          <w:highlight w:val="none"/>
        </w:rPr>
      </w:pPr>
      <w:bookmarkStart w:id="1650" w:name="_Toc18699"/>
      <w:bookmarkStart w:id="1651" w:name="_Toc4652"/>
      <w:r>
        <w:rPr>
          <w:rFonts w:hint="eastAsia"/>
          <w:color w:val="auto"/>
          <w:sz w:val="24"/>
          <w:highlight w:val="none"/>
        </w:rPr>
        <w:t>资格审查封面格式</w:t>
      </w:r>
      <w:bookmarkEnd w:id="1650"/>
      <w:bookmarkEnd w:id="1651"/>
    </w:p>
    <w:p>
      <w:pPr>
        <w:pStyle w:val="5"/>
        <w:rPr>
          <w:rFonts w:hAnsi="宋体"/>
          <w:bCs/>
          <w:color w:val="auto"/>
          <w:sz w:val="21"/>
          <w:highlight w:val="none"/>
        </w:rPr>
      </w:pPr>
    </w:p>
    <w:p>
      <w:pPr>
        <w:pStyle w:val="5"/>
        <w:spacing w:line="360" w:lineRule="auto"/>
        <w:rPr>
          <w:rFonts w:hAnsi="宋体"/>
          <w:bCs/>
          <w:color w:val="auto"/>
          <w:sz w:val="21"/>
          <w:highlight w:val="none"/>
        </w:rPr>
      </w:pPr>
      <w:r>
        <w:rPr>
          <w:rFonts w:hint="eastAsia" w:hAnsi="宋体"/>
          <w:bCs/>
          <w:color w:val="auto"/>
          <w:sz w:val="21"/>
          <w:highlight w:val="none"/>
        </w:rPr>
        <w:t xml:space="preserve">1、投标内容应当编有目录、页码，按页码排序并装订成册。  </w:t>
      </w:r>
    </w:p>
    <w:p>
      <w:pPr>
        <w:pStyle w:val="5"/>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5"/>
        <w:spacing w:line="360" w:lineRule="auto"/>
        <w:jc w:val="center"/>
        <w:rPr>
          <w:rFonts w:hAnsi="宋体"/>
          <w:bCs/>
          <w:color w:val="auto"/>
          <w:sz w:val="52"/>
          <w:szCs w:val="52"/>
          <w:highlight w:val="none"/>
        </w:rPr>
      </w:pPr>
      <w:r>
        <w:rPr>
          <w:rFonts w:hint="eastAsia" w:hAnsi="宋体"/>
          <w:b/>
          <w:color w:val="auto"/>
          <w:sz w:val="44"/>
          <w:szCs w:val="44"/>
          <w:highlight w:val="none"/>
        </w:rPr>
        <w:t>（资格审查文件）</w:t>
      </w: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440" w:lineRule="exact"/>
        <w:jc w:val="center"/>
        <w:rPr>
          <w:rFonts w:hAnsi="宋体"/>
          <w:bCs/>
          <w:color w:val="auto"/>
          <w:sz w:val="21"/>
          <w:highlight w:val="none"/>
        </w:rPr>
      </w:pPr>
    </w:p>
    <w:p>
      <w:pPr>
        <w:pStyle w:val="5"/>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5"/>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pStyle w:val="4"/>
        <w:numPr>
          <w:ilvl w:val="7"/>
          <w:numId w:val="6"/>
        </w:numPr>
        <w:tabs>
          <w:tab w:val="clear" w:pos="720"/>
        </w:tabs>
        <w:spacing w:before="240" w:after="240" w:line="360" w:lineRule="exact"/>
        <w:ind w:left="0" w:firstLine="0"/>
        <w:rPr>
          <w:color w:val="auto"/>
          <w:sz w:val="24"/>
          <w:highlight w:val="none"/>
        </w:rPr>
      </w:pPr>
      <w:r>
        <w:rPr>
          <w:rFonts w:hint="eastAsia"/>
          <w:color w:val="auto"/>
          <w:sz w:val="24"/>
          <w:highlight w:val="none"/>
        </w:rPr>
        <w:t xml:space="preserve">  </w:t>
      </w:r>
      <w:bookmarkStart w:id="1652" w:name="_Toc31809"/>
      <w:bookmarkStart w:id="1653" w:name="_Toc13229"/>
      <w:r>
        <w:rPr>
          <w:rFonts w:hint="eastAsia"/>
          <w:color w:val="auto"/>
          <w:sz w:val="24"/>
          <w:highlight w:val="none"/>
        </w:rPr>
        <w:t>自查表</w:t>
      </w:r>
      <w:bookmarkEnd w:id="1652"/>
      <w:bookmarkEnd w:id="1653"/>
    </w:p>
    <w:p>
      <w:pPr>
        <w:pStyle w:val="4"/>
        <w:keepLines w:val="0"/>
        <w:numPr>
          <w:ilvl w:val="0"/>
          <w:numId w:val="0"/>
        </w:numPr>
        <w:tabs>
          <w:tab w:val="left" w:pos="4320"/>
        </w:tabs>
        <w:spacing w:before="240" w:after="60" w:line="360" w:lineRule="exact"/>
        <w:rPr>
          <w:rFonts w:ascii="宋体"/>
          <w:b/>
          <w:bCs w:val="0"/>
          <w:color w:val="auto"/>
          <w:szCs w:val="21"/>
          <w:highlight w:val="none"/>
        </w:rPr>
      </w:pPr>
      <w:bookmarkStart w:id="1654" w:name="_Toc15898"/>
      <w:r>
        <w:rPr>
          <w:rFonts w:hint="eastAsia" w:ascii="宋体"/>
          <w:b/>
          <w:bCs w:val="0"/>
          <w:color w:val="auto"/>
          <w:szCs w:val="21"/>
          <w:highlight w:val="none"/>
        </w:rPr>
        <w:t xml:space="preserve"> </w:t>
      </w:r>
      <w:bookmarkStart w:id="1655" w:name="_Toc22044"/>
      <w:r>
        <w:rPr>
          <w:rFonts w:hint="eastAsia" w:ascii="宋体"/>
          <w:b/>
          <w:bCs w:val="0"/>
          <w:color w:val="auto"/>
          <w:szCs w:val="21"/>
          <w:highlight w:val="none"/>
        </w:rPr>
        <w:t>资格性自查表</w:t>
      </w:r>
      <w:bookmarkEnd w:id="1654"/>
      <w:bookmarkEnd w:id="1655"/>
    </w:p>
    <w:p>
      <w:pPr>
        <w:jc w:val="center"/>
        <w:rPr>
          <w:rFonts w:ascii="宋体" w:hAnsi="宋体"/>
          <w:b/>
          <w:bCs/>
          <w:color w:val="auto"/>
          <w:szCs w:val="21"/>
          <w:highlight w:val="none"/>
        </w:rPr>
      </w:pPr>
    </w:p>
    <w:tbl>
      <w:tblPr>
        <w:tblStyle w:val="46"/>
        <w:tblW w:w="9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460"/>
        <w:gridCol w:w="2150"/>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60"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2150"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9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484"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1" w:hRule="atLeast"/>
          <w:jc w:val="center"/>
        </w:trPr>
        <w:tc>
          <w:tcPr>
            <w:tcW w:w="1200" w:type="dxa"/>
            <w:vMerge w:val="restart"/>
            <w:vAlign w:val="center"/>
          </w:tcPr>
          <w:p>
            <w:pPr>
              <w:tabs>
                <w:tab w:val="left" w:pos="480"/>
              </w:tabs>
              <w:ind w:left="480" w:hanging="480"/>
              <w:jc w:val="center"/>
              <w:rPr>
                <w:rFonts w:hint="eastAsia" w:ascii="宋体" w:hAnsi="宋体"/>
                <w:color w:val="auto"/>
                <w:szCs w:val="21"/>
                <w:highlight w:val="none"/>
              </w:rPr>
            </w:pPr>
            <w:r>
              <w:rPr>
                <w:rFonts w:hint="eastAsia" w:ascii="宋体" w:hAnsi="宋体"/>
                <w:color w:val="auto"/>
                <w:szCs w:val="21"/>
                <w:highlight w:val="none"/>
              </w:rPr>
              <w:t>资格性</w:t>
            </w:r>
          </w:p>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检查</w:t>
            </w:r>
          </w:p>
        </w:tc>
        <w:tc>
          <w:tcPr>
            <w:tcW w:w="1460" w:type="dxa"/>
            <w:vMerge w:val="restart"/>
            <w:vAlign w:val="center"/>
          </w:tcPr>
          <w:p>
            <w:pPr>
              <w:tabs>
                <w:tab w:val="left" w:pos="146"/>
              </w:tabs>
              <w:ind w:left="146"/>
              <w:rPr>
                <w:rFonts w:ascii="宋体" w:hAnsi="宋体"/>
                <w:b w:val="0"/>
                <w:bCs w:val="0"/>
                <w:color w:val="auto"/>
                <w:szCs w:val="21"/>
                <w:highlight w:val="none"/>
              </w:rPr>
            </w:pPr>
            <w:r>
              <w:rPr>
                <w:rFonts w:hint="eastAsia" w:ascii="宋体" w:hAnsi="宋体"/>
                <w:b w:val="0"/>
                <w:bCs w:val="0"/>
                <w:color w:val="auto"/>
                <w:szCs w:val="21"/>
                <w:highlight w:val="none"/>
              </w:rPr>
              <w:t>投标人资格要求</w:t>
            </w:r>
          </w:p>
        </w:tc>
        <w:tc>
          <w:tcPr>
            <w:tcW w:w="2150" w:type="dxa"/>
            <w:vAlign w:val="center"/>
          </w:tcPr>
          <w:p>
            <w:pPr>
              <w:tabs>
                <w:tab w:val="left" w:pos="0"/>
              </w:tabs>
              <w:rPr>
                <w:rFonts w:ascii="宋体" w:hAnsi="宋体"/>
                <w:b w:val="0"/>
                <w:bCs w:val="0"/>
                <w:color w:val="auto"/>
                <w:szCs w:val="21"/>
                <w:highlight w:val="none"/>
              </w:rPr>
            </w:pPr>
            <w:r>
              <w:rPr>
                <w:rFonts w:hint="eastAsia" w:ascii="宋体" w:hAnsi="宋体"/>
                <w:b w:val="0"/>
                <w:bCs w:val="0"/>
                <w:color w:val="auto"/>
                <w:szCs w:val="21"/>
                <w:highlight w:val="none"/>
              </w:rPr>
              <w:t>投标人应具备《中华人民共和国政府采购法》第二十二条规定的条件</w:t>
            </w:r>
          </w:p>
          <w:p>
            <w:pPr>
              <w:tabs>
                <w:tab w:val="left" w:pos="0"/>
              </w:tabs>
              <w:rPr>
                <w:rFonts w:ascii="宋体" w:hAnsi="宋体"/>
                <w:b w:val="0"/>
                <w:bCs w:val="0"/>
                <w:color w:val="auto"/>
                <w:szCs w:val="21"/>
                <w:highlight w:val="none"/>
              </w:rPr>
            </w:pPr>
          </w:p>
        </w:tc>
        <w:tc>
          <w:tcPr>
            <w:tcW w:w="1975" w:type="dxa"/>
            <w:vAlign w:val="center"/>
          </w:tcPr>
          <w:p>
            <w:pPr>
              <w:tabs>
                <w:tab w:val="left" w:pos="480"/>
              </w:tabs>
              <w:ind w:left="480" w:hanging="480"/>
              <w:rPr>
                <w:rFonts w:ascii="宋体" w:hAnsi="宋体"/>
                <w:b/>
                <w:bCs/>
                <w:color w:val="auto"/>
                <w:szCs w:val="21"/>
                <w:highlight w:val="none"/>
              </w:rPr>
            </w:pPr>
          </w:p>
        </w:tc>
        <w:tc>
          <w:tcPr>
            <w:tcW w:w="2484" w:type="dxa"/>
            <w:vAlign w:val="center"/>
          </w:tcPr>
          <w:p>
            <w:pPr>
              <w:tabs>
                <w:tab w:val="left" w:pos="0"/>
              </w:tabs>
              <w:jc w:val="center"/>
              <w:rPr>
                <w:rFonts w:ascii="宋体" w:hAnsi="宋体"/>
                <w:b/>
                <w:color w:val="auto"/>
                <w:szCs w:val="21"/>
                <w:highlight w:val="none"/>
              </w:rPr>
            </w:pPr>
            <w:r>
              <w:rPr>
                <w:rFonts w:hint="eastAsia" w:ascii="宋体" w:hAnsi="宋体"/>
                <w:b/>
                <w:color w:val="auto"/>
                <w:szCs w:val="21"/>
                <w:highlight w:val="none"/>
              </w:rPr>
              <w:t>见投标文件</w:t>
            </w:r>
          </w:p>
          <w:p>
            <w:pPr>
              <w:tabs>
                <w:tab w:val="left" w:pos="0"/>
              </w:tabs>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要求：提交合法有效的营业执照复印件加盖公章、</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1" w:hRule="atLeast"/>
          <w:jc w:val="center"/>
        </w:trPr>
        <w:tc>
          <w:tcPr>
            <w:tcW w:w="1200" w:type="dxa"/>
            <w:vMerge w:val="continue"/>
            <w:vAlign w:val="center"/>
          </w:tcPr>
          <w:p>
            <w:pPr>
              <w:tabs>
                <w:tab w:val="left" w:pos="480"/>
              </w:tabs>
              <w:ind w:left="480" w:hanging="480"/>
              <w:jc w:val="center"/>
              <w:rPr>
                <w:rFonts w:ascii="宋体" w:hAnsi="宋体"/>
                <w:color w:val="auto"/>
                <w:szCs w:val="21"/>
                <w:highlight w:val="none"/>
              </w:rPr>
            </w:pPr>
          </w:p>
        </w:tc>
        <w:tc>
          <w:tcPr>
            <w:tcW w:w="1460" w:type="dxa"/>
            <w:vMerge w:val="continue"/>
            <w:vAlign w:val="center"/>
          </w:tcPr>
          <w:p>
            <w:pPr>
              <w:tabs>
                <w:tab w:val="left" w:pos="146"/>
              </w:tabs>
              <w:ind w:left="146"/>
              <w:rPr>
                <w:rFonts w:ascii="宋体" w:hAnsi="宋体"/>
                <w:b w:val="0"/>
                <w:bCs w:val="0"/>
                <w:color w:val="auto"/>
                <w:szCs w:val="21"/>
                <w:highlight w:val="none"/>
              </w:rPr>
            </w:pPr>
          </w:p>
        </w:tc>
        <w:tc>
          <w:tcPr>
            <w:tcW w:w="2150" w:type="dxa"/>
            <w:vAlign w:val="center"/>
          </w:tcPr>
          <w:p>
            <w:pPr>
              <w:tabs>
                <w:tab w:val="left" w:pos="0"/>
              </w:tabs>
              <w:rPr>
                <w:rFonts w:ascii="宋体" w:hAnsi="宋体"/>
                <w:b w:val="0"/>
                <w:bCs w:val="0"/>
                <w:color w:val="auto"/>
                <w:szCs w:val="21"/>
                <w:highlight w:val="none"/>
              </w:rPr>
            </w:pPr>
            <w:r>
              <w:rPr>
                <w:rFonts w:hint="eastAsia" w:ascii="宋体" w:hAnsi="宋体"/>
                <w:b w:val="0"/>
                <w:bCs w:val="0"/>
                <w:color w:val="auto"/>
                <w:szCs w:val="21"/>
                <w:highlight w:val="none"/>
              </w:rPr>
              <w:t>投标人须是在中华人民共和国境内注册，且经中国人民银行批准设立的，在阳江地区</w:t>
            </w:r>
            <w:r>
              <w:rPr>
                <w:rFonts w:hint="eastAsia" w:ascii="宋体" w:hAnsi="宋体"/>
                <w:b w:val="0"/>
                <w:bCs w:val="0"/>
                <w:color w:val="auto"/>
                <w:szCs w:val="21"/>
                <w:highlight w:val="none"/>
                <w:lang w:eastAsia="zh-CN"/>
              </w:rPr>
              <w:t>具备</w:t>
            </w:r>
            <w:r>
              <w:rPr>
                <w:rFonts w:hint="eastAsia" w:ascii="宋体" w:hAnsi="宋体"/>
                <w:b w:val="0"/>
                <w:bCs w:val="0"/>
                <w:color w:val="auto"/>
                <w:szCs w:val="21"/>
                <w:highlight w:val="none"/>
              </w:rPr>
              <w:t>经营银行业务资格的金融机构</w:t>
            </w:r>
            <w:r>
              <w:rPr>
                <w:rFonts w:hint="eastAsia" w:ascii="宋体" w:hAnsi="宋体"/>
                <w:b w:val="0"/>
                <w:bCs w:val="0"/>
                <w:color w:val="auto"/>
                <w:szCs w:val="21"/>
                <w:highlight w:val="none"/>
                <w:lang w:eastAsia="zh-CN"/>
              </w:rPr>
              <w:t>，并在</w:t>
            </w:r>
            <w:r>
              <w:rPr>
                <w:rFonts w:hint="eastAsia" w:ascii="宋体" w:hAnsi="宋体"/>
                <w:b w:val="0"/>
                <w:bCs w:val="0"/>
                <w:color w:val="auto"/>
                <w:szCs w:val="21"/>
                <w:highlight w:val="none"/>
              </w:rPr>
              <w:t>海陵区</w:t>
            </w:r>
            <w:r>
              <w:rPr>
                <w:rFonts w:hint="eastAsia" w:ascii="宋体" w:hAnsi="宋体"/>
                <w:b w:val="0"/>
                <w:bCs w:val="0"/>
                <w:color w:val="auto"/>
                <w:szCs w:val="21"/>
                <w:highlight w:val="none"/>
                <w:lang w:eastAsia="zh-CN"/>
              </w:rPr>
              <w:t>内设立金融网点（不含自助银行）。（</w:t>
            </w:r>
            <w:r>
              <w:rPr>
                <w:rFonts w:hint="eastAsia" w:ascii="宋体" w:hAnsi="宋体"/>
                <w:b w:val="0"/>
                <w:bCs w:val="0"/>
                <w:color w:val="auto"/>
                <w:szCs w:val="21"/>
                <w:highlight w:val="none"/>
                <w:lang w:val="en-US" w:eastAsia="zh-CN"/>
              </w:rPr>
              <w:t>需</w:t>
            </w:r>
            <w:r>
              <w:rPr>
                <w:rFonts w:hint="eastAsia" w:ascii="宋体" w:hAnsi="宋体"/>
                <w:b w:val="0"/>
                <w:bCs w:val="0"/>
                <w:color w:val="auto"/>
                <w:szCs w:val="21"/>
                <w:highlight w:val="none"/>
              </w:rPr>
              <w:t>提供中国银行业监督管理部门核发的《金融许可证》</w:t>
            </w:r>
            <w:r>
              <w:rPr>
                <w:rFonts w:hint="eastAsia" w:ascii="宋体" w:hAnsi="宋体"/>
                <w:b w:val="0"/>
                <w:bCs w:val="0"/>
                <w:color w:val="auto"/>
                <w:szCs w:val="21"/>
                <w:highlight w:val="none"/>
                <w:lang w:eastAsia="zh-CN"/>
              </w:rPr>
              <w:t>。）</w:t>
            </w:r>
          </w:p>
        </w:tc>
        <w:tc>
          <w:tcPr>
            <w:tcW w:w="1975" w:type="dxa"/>
            <w:vAlign w:val="center"/>
          </w:tcPr>
          <w:p>
            <w:pPr>
              <w:tabs>
                <w:tab w:val="left" w:pos="480"/>
              </w:tabs>
              <w:ind w:left="480" w:hanging="480"/>
              <w:rPr>
                <w:rFonts w:ascii="宋体" w:hAnsi="宋体"/>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200" w:type="dxa"/>
            <w:vMerge w:val="continue"/>
            <w:vAlign w:val="center"/>
          </w:tcPr>
          <w:p>
            <w:pPr>
              <w:tabs>
                <w:tab w:val="left" w:pos="480"/>
              </w:tabs>
              <w:ind w:left="480" w:hanging="480"/>
              <w:jc w:val="center"/>
              <w:rPr>
                <w:rFonts w:ascii="宋体" w:hAnsi="宋体"/>
                <w:color w:val="auto"/>
                <w:szCs w:val="21"/>
                <w:highlight w:val="none"/>
              </w:rPr>
            </w:pPr>
          </w:p>
        </w:tc>
        <w:tc>
          <w:tcPr>
            <w:tcW w:w="1460" w:type="dxa"/>
            <w:vAlign w:val="center"/>
          </w:tcPr>
          <w:p>
            <w:pPr>
              <w:tabs>
                <w:tab w:val="left" w:pos="146"/>
              </w:tabs>
              <w:ind w:left="146"/>
              <w:rPr>
                <w:rFonts w:ascii="宋体" w:hAnsi="宋体"/>
                <w:b w:val="0"/>
                <w:bCs w:val="0"/>
                <w:color w:val="auto"/>
                <w:szCs w:val="21"/>
                <w:highlight w:val="none"/>
              </w:rPr>
            </w:pPr>
            <w:r>
              <w:rPr>
                <w:rFonts w:hint="eastAsia" w:ascii="宋体" w:hAnsi="宋体"/>
                <w:b w:val="0"/>
                <w:bCs w:val="0"/>
                <w:color w:val="auto"/>
                <w:szCs w:val="21"/>
                <w:highlight w:val="none"/>
              </w:rPr>
              <w:t>本项目不接受联合体投标</w:t>
            </w:r>
          </w:p>
        </w:tc>
        <w:tc>
          <w:tcPr>
            <w:tcW w:w="2150" w:type="dxa"/>
            <w:vAlign w:val="center"/>
          </w:tcPr>
          <w:p>
            <w:pPr>
              <w:tabs>
                <w:tab w:val="left" w:pos="0"/>
              </w:tabs>
              <w:rPr>
                <w:rFonts w:ascii="宋体" w:hAnsi="宋体"/>
                <w:b w:val="0"/>
                <w:bCs w:val="0"/>
                <w:color w:val="auto"/>
                <w:szCs w:val="21"/>
                <w:highlight w:val="none"/>
              </w:rPr>
            </w:pPr>
            <w:r>
              <w:rPr>
                <w:rFonts w:hint="eastAsia" w:ascii="宋体" w:hAnsi="宋体"/>
                <w:b w:val="0"/>
                <w:bCs w:val="0"/>
                <w:color w:val="auto"/>
                <w:szCs w:val="21"/>
                <w:highlight w:val="none"/>
              </w:rPr>
              <w:t>按招标文件要求</w:t>
            </w:r>
          </w:p>
        </w:tc>
        <w:tc>
          <w:tcPr>
            <w:tcW w:w="1975" w:type="dxa"/>
            <w:vAlign w:val="center"/>
          </w:tcPr>
          <w:p>
            <w:pPr>
              <w:tabs>
                <w:tab w:val="left" w:pos="480"/>
              </w:tabs>
              <w:ind w:left="-107" w:leftChars="-51" w:firstLine="106"/>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adjustRightInd w:val="0"/>
        <w:snapToGrid w:val="0"/>
        <w:spacing w:line="300" w:lineRule="auto"/>
        <w:rPr>
          <w:color w:val="auto"/>
          <w:sz w:val="24"/>
          <w:highlight w:val="none"/>
        </w:rPr>
      </w:pPr>
    </w:p>
    <w:p>
      <w:pPr>
        <w:adjustRightInd w:val="0"/>
        <w:snapToGrid w:val="0"/>
        <w:spacing w:line="300" w:lineRule="auto"/>
        <w:rPr>
          <w:color w:val="auto"/>
          <w:sz w:val="24"/>
          <w:highlight w:val="none"/>
        </w:rPr>
      </w:pPr>
    </w:p>
    <w:p>
      <w:pPr>
        <w:rPr>
          <w:rFonts w:hint="eastAsia"/>
          <w:color w:val="auto"/>
          <w:highlight w:val="none"/>
        </w:rPr>
      </w:pPr>
      <w:bookmarkStart w:id="1656" w:name="_Toc21470"/>
      <w:r>
        <w:rPr>
          <w:rFonts w:hint="eastAsia"/>
          <w:color w:val="auto"/>
          <w:highlight w:val="none"/>
        </w:rPr>
        <w:br w:type="page"/>
      </w:r>
    </w:p>
    <w:p>
      <w:pPr>
        <w:pStyle w:val="4"/>
        <w:numPr>
          <w:ilvl w:val="0"/>
          <w:numId w:val="0"/>
        </w:numPr>
        <w:rPr>
          <w:color w:val="auto"/>
          <w:highlight w:val="none"/>
        </w:rPr>
      </w:pPr>
      <w:bookmarkStart w:id="1657" w:name="_Toc16743"/>
      <w:r>
        <w:rPr>
          <w:rFonts w:hint="eastAsia"/>
          <w:color w:val="auto"/>
          <w:highlight w:val="none"/>
        </w:rPr>
        <w:t>（一）资格审查文件要求提交的有效证明文件</w:t>
      </w:r>
      <w:bookmarkEnd w:id="1656"/>
      <w:bookmarkEnd w:id="1657"/>
    </w:p>
    <w:p>
      <w:pPr>
        <w:adjustRightInd w:val="0"/>
        <w:snapToGrid w:val="0"/>
        <w:spacing w:line="360" w:lineRule="auto"/>
        <w:jc w:val="left"/>
        <w:rPr>
          <w:rFonts w:ascii="宋体" w:hAnsi="宋体"/>
          <w:b/>
          <w:bCs/>
          <w:caps/>
          <w:color w:val="auto"/>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C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p>
    <w:p>
      <w:pPr>
        <w:pStyle w:val="5"/>
        <w:rPr>
          <w:color w:val="auto"/>
          <w:highlight w:val="none"/>
        </w:rPr>
      </w:pP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1、合法有效的营业执照复印件加盖公章；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3、缴税证明复印件加盖公章；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4、社会保险证明复印件加盖公章；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5、</w:t>
      </w:r>
      <w:r>
        <w:rPr>
          <w:rFonts w:hint="eastAsia" w:hAnsi="黑体"/>
          <w:color w:val="auto"/>
          <w:szCs w:val="21"/>
          <w:highlight w:val="none"/>
        </w:rPr>
        <w:t>无重大违法记录声明函</w:t>
      </w:r>
      <w:r>
        <w:rPr>
          <w:rFonts w:hint="eastAsia"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6、相关资质证明文件：</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7、</w:t>
      </w:r>
      <w:r>
        <w:rPr>
          <w:rFonts w:ascii="宋体" w:hAnsi="宋体"/>
          <w:color w:val="auto"/>
          <w:szCs w:val="21"/>
          <w:highlight w:val="none"/>
        </w:rPr>
        <w:t>………</w:t>
      </w:r>
    </w:p>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color w:val="auto"/>
          <w:sz w:val="21"/>
          <w:szCs w:val="21"/>
          <w:highlight w:val="none"/>
        </w:rPr>
      </w:pPr>
      <w:r>
        <w:rPr>
          <w:rFonts w:hint="eastAsia" w:hAnsi="宋体"/>
          <w:bCs/>
          <w:color w:val="auto"/>
          <w:sz w:val="21"/>
          <w:szCs w:val="21"/>
          <w:highlight w:val="none"/>
        </w:rPr>
        <w:t>提供招标文件要求的资格</w:t>
      </w:r>
      <w:r>
        <w:rPr>
          <w:rFonts w:hint="eastAsia" w:hAnsi="宋体"/>
          <w:color w:val="auto"/>
          <w:sz w:val="21"/>
          <w:szCs w:val="21"/>
          <w:highlight w:val="none"/>
        </w:rPr>
        <w:t>证明文件复印件加盖公章。</w:t>
      </w: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4"/>
        <w:numPr>
          <w:ilvl w:val="0"/>
          <w:numId w:val="0"/>
        </w:numPr>
        <w:rPr>
          <w:rFonts w:hAnsi="黑体"/>
          <w:color w:val="auto"/>
          <w:szCs w:val="21"/>
          <w:highlight w:val="none"/>
        </w:rPr>
      </w:pPr>
      <w:bookmarkStart w:id="1658" w:name="_Toc26194"/>
      <w:bookmarkStart w:id="1659" w:name="_Toc4465"/>
      <w:r>
        <w:rPr>
          <w:rFonts w:hint="eastAsia" w:hAnsi="黑体"/>
          <w:color w:val="auto"/>
          <w:szCs w:val="21"/>
          <w:highlight w:val="none"/>
        </w:rPr>
        <w:t>（二）无重大违法记录声明函</w:t>
      </w:r>
      <w:bookmarkEnd w:id="1658"/>
      <w:bookmarkEnd w:id="1659"/>
    </w:p>
    <w:p>
      <w:pPr>
        <w:pStyle w:val="5"/>
        <w:spacing w:line="360" w:lineRule="auto"/>
        <w:ind w:left="420" w:firstLine="0"/>
        <w:rPr>
          <w:color w:val="auto"/>
          <w:highlight w:val="none"/>
        </w:rPr>
      </w:pPr>
    </w:p>
    <w:p>
      <w:pPr>
        <w:spacing w:line="360" w:lineRule="auto"/>
        <w:rPr>
          <w:color w:val="auto"/>
          <w:szCs w:val="21"/>
          <w:highlight w:val="none"/>
        </w:rPr>
      </w:pPr>
      <w:r>
        <w:rPr>
          <w:rFonts w:hint="eastAsia"/>
          <w:color w:val="auto"/>
          <w:szCs w:val="21"/>
          <w:highlight w:val="none"/>
        </w:rPr>
        <w:t>致</w:t>
      </w:r>
      <w:r>
        <w:rPr>
          <w:rFonts w:hint="eastAsia"/>
          <w:color w:val="auto"/>
          <w:szCs w:val="21"/>
          <w:highlight w:val="none"/>
          <w:lang w:eastAsia="zh-CN"/>
        </w:rPr>
        <w:t>广东业信招标有限公司</w:t>
      </w:r>
      <w:r>
        <w:rPr>
          <w:rFonts w:hint="eastAsia"/>
          <w:color w:val="auto"/>
          <w:szCs w:val="21"/>
          <w:highlight w:val="none"/>
        </w:rPr>
        <w:t>：</w:t>
      </w:r>
    </w:p>
    <w:p>
      <w:pPr>
        <w:spacing w:line="360" w:lineRule="auto"/>
        <w:rPr>
          <w:rFonts w:ascii="宋体" w:hAnsi="宋体"/>
          <w:bCs/>
          <w:color w:val="auto"/>
          <w:highlight w:val="none"/>
          <w:u w:val="single"/>
        </w:rPr>
      </w:pPr>
      <w:r>
        <w:rPr>
          <w:rFonts w:hint="eastAsia"/>
          <w:color w:val="auto"/>
          <w:szCs w:val="21"/>
          <w:highlight w:val="none"/>
        </w:rPr>
        <w:t xml:space="preserve">    针对贵</w:t>
      </w:r>
      <w:r>
        <w:rPr>
          <w:rFonts w:hint="eastAsia" w:ascii="宋体" w:hAnsi="宋体"/>
          <w:color w:val="auto"/>
          <w:szCs w:val="21"/>
          <w:highlight w:val="none"/>
        </w:rPr>
        <w:t>方</w:t>
      </w:r>
      <w:r>
        <w:rPr>
          <w:rFonts w:hint="eastAsia"/>
          <w:color w:val="auto"/>
          <w:szCs w:val="21"/>
          <w:highlight w:val="none"/>
        </w:rPr>
        <w:t>组织的（项目名称：</w:t>
      </w:r>
      <w:r>
        <w:rPr>
          <w:rFonts w:hint="eastAsia"/>
          <w:color w:val="auto"/>
          <w:szCs w:val="21"/>
          <w:highlight w:val="none"/>
          <w:u w:val="single"/>
        </w:rPr>
        <w:t xml:space="preserve">                         </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color w:val="auto"/>
          <w:szCs w:val="21"/>
          <w:highlight w:val="none"/>
        </w:rPr>
        <w:t>），我方郑重承诺：</w:t>
      </w:r>
    </w:p>
    <w:p>
      <w:pPr>
        <w:spacing w:line="360" w:lineRule="auto"/>
        <w:rPr>
          <w:color w:val="auto"/>
          <w:szCs w:val="21"/>
          <w:highlight w:val="none"/>
        </w:rPr>
      </w:pPr>
      <w:r>
        <w:rPr>
          <w:rFonts w:hint="eastAsia"/>
          <w:color w:val="auto"/>
          <w:szCs w:val="21"/>
          <w:highlight w:val="none"/>
        </w:rPr>
        <w:t xml:space="preserve">    参加本次政府采购活动前三年内，在经营活动中没有重大违法记录。</w:t>
      </w:r>
    </w:p>
    <w:p>
      <w:pPr>
        <w:spacing w:line="360" w:lineRule="auto"/>
        <w:rPr>
          <w:color w:val="auto"/>
          <w:szCs w:val="21"/>
          <w:highlight w:val="none"/>
        </w:rPr>
      </w:pPr>
      <w:r>
        <w:rPr>
          <w:rFonts w:hint="eastAsia"/>
          <w:color w:val="auto"/>
          <w:szCs w:val="21"/>
          <w:highlight w:val="none"/>
        </w:rPr>
        <w:t xml:space="preserve">    本公司对上述声明的真实性负责。如有虚假，将依法承担相关责任。</w:t>
      </w:r>
    </w:p>
    <w:p>
      <w:pPr>
        <w:spacing w:line="360" w:lineRule="auto"/>
        <w:rPr>
          <w:color w:val="auto"/>
          <w:szCs w:val="21"/>
          <w:highlight w:val="none"/>
        </w:rPr>
      </w:pPr>
      <w:r>
        <w:rPr>
          <w:rFonts w:hint="eastAsia"/>
          <w:color w:val="auto"/>
          <w:szCs w:val="21"/>
          <w:highlight w:val="none"/>
        </w:rPr>
        <w:t xml:space="preserve">    特此声明。</w:t>
      </w: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rPr>
          <w:color w:val="auto"/>
          <w:szCs w:val="21"/>
          <w:highlight w:val="non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color w:val="auto"/>
          <w:szCs w:val="21"/>
          <w:highlight w:val="none"/>
        </w:rPr>
        <w:t>投标人名称（公章）：</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firstLine="0"/>
        <w:rPr>
          <w:color w:val="auto"/>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pStyle w:val="4"/>
        <w:numPr>
          <w:ilvl w:val="7"/>
          <w:numId w:val="6"/>
        </w:numPr>
        <w:tabs>
          <w:tab w:val="clear" w:pos="720"/>
        </w:tabs>
        <w:ind w:left="720"/>
        <w:rPr>
          <w:color w:val="auto"/>
          <w:highlight w:val="none"/>
        </w:rPr>
      </w:pPr>
      <w:bookmarkStart w:id="1660" w:name="_Toc5256"/>
      <w:bookmarkStart w:id="1661" w:name="_Toc3710"/>
      <w:r>
        <w:rPr>
          <w:rFonts w:hint="eastAsia"/>
          <w:color w:val="auto"/>
          <w:highlight w:val="none"/>
        </w:rPr>
        <w:t>投标文件商务及技术部分</w:t>
      </w:r>
      <w:bookmarkEnd w:id="1660"/>
      <w:bookmarkEnd w:id="1661"/>
    </w:p>
    <w:p>
      <w:pPr>
        <w:pStyle w:val="4"/>
        <w:numPr>
          <w:ilvl w:val="0"/>
          <w:numId w:val="0"/>
        </w:numPr>
        <w:rPr>
          <w:color w:val="auto"/>
          <w:sz w:val="24"/>
          <w:highlight w:val="none"/>
        </w:rPr>
      </w:pPr>
      <w:bookmarkStart w:id="1662" w:name="_Toc9988"/>
      <w:r>
        <w:rPr>
          <w:rFonts w:hint="eastAsia"/>
          <w:color w:val="auto"/>
          <w:sz w:val="24"/>
          <w:highlight w:val="none"/>
        </w:rPr>
        <w:t>商务及技术封面格式</w:t>
      </w:r>
      <w:bookmarkEnd w:id="1662"/>
    </w:p>
    <w:p>
      <w:pPr>
        <w:pStyle w:val="5"/>
        <w:rPr>
          <w:rFonts w:hAnsi="宋体"/>
          <w:bCs/>
          <w:color w:val="auto"/>
          <w:sz w:val="21"/>
          <w:highlight w:val="none"/>
        </w:rPr>
      </w:pPr>
    </w:p>
    <w:p>
      <w:pPr>
        <w:pStyle w:val="5"/>
        <w:spacing w:line="360" w:lineRule="auto"/>
        <w:rPr>
          <w:rFonts w:hAnsi="宋体"/>
          <w:bCs/>
          <w:color w:val="auto"/>
          <w:sz w:val="21"/>
          <w:highlight w:val="none"/>
        </w:rPr>
      </w:pPr>
      <w:r>
        <w:rPr>
          <w:rFonts w:hAnsi="宋体"/>
          <w:bCs/>
          <w:color w:val="auto"/>
          <w:sz w:val="21"/>
          <w:highlight w:val="none"/>
        </w:rPr>
        <w:t>1</w:t>
      </w:r>
      <w:r>
        <w:rPr>
          <w:rFonts w:hint="eastAsia" w:hAnsi="宋体"/>
          <w:bCs/>
          <w:color w:val="auto"/>
          <w:sz w:val="21"/>
          <w:highlight w:val="none"/>
        </w:rPr>
        <w:t xml:space="preserve">、投标内容应当编有目录、页码，按页码排序并装订成册。   </w:t>
      </w:r>
    </w:p>
    <w:p>
      <w:pPr>
        <w:pStyle w:val="5"/>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ind w:firstLine="0"/>
        <w:jc w:val="both"/>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5"/>
        <w:spacing w:line="360" w:lineRule="auto"/>
        <w:jc w:val="center"/>
        <w:rPr>
          <w:rFonts w:hAnsi="宋体"/>
          <w:bCs/>
          <w:color w:val="auto"/>
          <w:sz w:val="52"/>
          <w:szCs w:val="52"/>
          <w:highlight w:val="none"/>
        </w:rPr>
      </w:pPr>
      <w:r>
        <w:rPr>
          <w:rFonts w:hint="eastAsia" w:hAnsi="宋体"/>
          <w:b/>
          <w:color w:val="auto"/>
          <w:sz w:val="44"/>
          <w:szCs w:val="44"/>
          <w:highlight w:val="none"/>
        </w:rPr>
        <w:t>（商务及技术文件）</w:t>
      </w: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440" w:lineRule="exact"/>
        <w:jc w:val="center"/>
        <w:rPr>
          <w:rFonts w:hAnsi="宋体"/>
          <w:bCs/>
          <w:color w:val="auto"/>
          <w:sz w:val="21"/>
          <w:highlight w:val="none"/>
        </w:rPr>
      </w:pPr>
    </w:p>
    <w:p>
      <w:pPr>
        <w:pStyle w:val="5"/>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5"/>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pStyle w:val="5"/>
        <w:rPr>
          <w:color w:val="auto"/>
          <w:highlight w:val="none"/>
        </w:rPr>
      </w:pPr>
    </w:p>
    <w:p>
      <w:pPr>
        <w:pStyle w:val="5"/>
        <w:rPr>
          <w:color w:val="auto"/>
          <w:highlight w:val="none"/>
        </w:rPr>
      </w:pPr>
    </w:p>
    <w:p>
      <w:pPr>
        <w:pStyle w:val="5"/>
        <w:ind w:firstLine="0"/>
        <w:rPr>
          <w:color w:val="auto"/>
          <w:highlight w:val="none"/>
        </w:rPr>
      </w:pPr>
    </w:p>
    <w:p>
      <w:pPr>
        <w:pStyle w:val="4"/>
        <w:keepLines w:val="0"/>
        <w:numPr>
          <w:ilvl w:val="0"/>
          <w:numId w:val="0"/>
        </w:numPr>
        <w:tabs>
          <w:tab w:val="left" w:pos="4320"/>
        </w:tabs>
        <w:spacing w:before="240" w:after="60" w:line="360" w:lineRule="exact"/>
        <w:rPr>
          <w:rFonts w:ascii="宋体"/>
          <w:b/>
          <w:bCs w:val="0"/>
          <w:color w:val="auto"/>
          <w:szCs w:val="21"/>
          <w:highlight w:val="none"/>
        </w:rPr>
      </w:pPr>
      <w:bookmarkStart w:id="1663" w:name="_Toc26848"/>
      <w:r>
        <w:rPr>
          <w:rFonts w:hint="eastAsia" w:ascii="宋体"/>
          <w:b/>
          <w:bCs w:val="0"/>
          <w:color w:val="auto"/>
          <w:szCs w:val="21"/>
          <w:highlight w:val="none"/>
        </w:rPr>
        <w:t>符合性自查表</w:t>
      </w:r>
      <w:bookmarkEnd w:id="1663"/>
    </w:p>
    <w:p>
      <w:pPr>
        <w:jc w:val="center"/>
        <w:rPr>
          <w:rFonts w:ascii="宋体" w:hAnsi="宋体"/>
          <w:b/>
          <w:bCs/>
          <w:color w:val="auto"/>
          <w:szCs w:val="21"/>
          <w:highlight w:val="none"/>
        </w:rPr>
      </w:pPr>
    </w:p>
    <w:tbl>
      <w:tblPr>
        <w:tblStyle w:val="46"/>
        <w:tblW w:w="9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195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9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1990"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符合性审查</w:t>
            </w:r>
          </w:p>
        </w:tc>
        <w:tc>
          <w:tcPr>
            <w:tcW w:w="2300"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须满足</w:t>
            </w:r>
            <w:r>
              <w:rPr>
                <w:rFonts w:hint="eastAsia" w:ascii="宋体" w:hAnsi="宋体"/>
                <w:color w:val="auto"/>
                <w:szCs w:val="21"/>
                <w:highlight w:val="none"/>
                <w:lang w:val="en-US" w:eastAsia="zh-CN"/>
              </w:rPr>
              <w:t>带“</w:t>
            </w:r>
            <w:r>
              <w:rPr>
                <w:rFonts w:ascii="宋体" w:hAnsi="宋体"/>
                <w:b/>
                <w:color w:val="auto"/>
                <w:szCs w:val="21"/>
                <w:highlight w:val="none"/>
              </w:rPr>
              <w:t>★</w:t>
            </w:r>
            <w:r>
              <w:rPr>
                <w:rFonts w:hint="eastAsia" w:ascii="宋体" w:hAnsi="宋体"/>
                <w:color w:val="auto"/>
                <w:szCs w:val="21"/>
                <w:highlight w:val="none"/>
                <w:lang w:val="en-US" w:eastAsia="zh-CN"/>
              </w:rPr>
              <w:t>”号</w:t>
            </w:r>
            <w:r>
              <w:rPr>
                <w:rFonts w:hint="eastAsia" w:ascii="宋体" w:hAnsi="宋体"/>
                <w:color w:val="auto"/>
                <w:szCs w:val="21"/>
                <w:highlight w:val="none"/>
              </w:rPr>
              <w:t>要求</w:t>
            </w:r>
          </w:p>
        </w:tc>
        <w:tc>
          <w:tcPr>
            <w:tcW w:w="195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b/>
                <w:bCs/>
                <w:color w:val="auto"/>
                <w:szCs w:val="21"/>
                <w:highlight w:val="none"/>
              </w:rPr>
            </w:pPr>
          </w:p>
        </w:tc>
        <w:tc>
          <w:tcPr>
            <w:tcW w:w="1990"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vAlign w:val="center"/>
          </w:tcPr>
          <w:p>
            <w:pPr>
              <w:tabs>
                <w:tab w:val="left" w:pos="480"/>
              </w:tabs>
              <w:ind w:left="480" w:hanging="480"/>
              <w:jc w:val="center"/>
              <w:rPr>
                <w:rFonts w:hint="eastAsia" w:ascii="宋体" w:hAnsi="宋体"/>
                <w:color w:val="auto"/>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服务期须满足要求</w:t>
            </w:r>
          </w:p>
        </w:tc>
        <w:tc>
          <w:tcPr>
            <w:tcW w:w="1958" w:type="dxa"/>
            <w:vAlign w:val="center"/>
          </w:tcPr>
          <w:p>
            <w:pPr>
              <w:tabs>
                <w:tab w:val="left" w:pos="0"/>
              </w:tabs>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auto"/>
                <w:kern w:val="2"/>
                <w:sz w:val="21"/>
                <w:szCs w:val="21"/>
                <w:highlight w:val="none"/>
                <w:lang w:val="en-US" w:eastAsia="zh-CN" w:bidi="ar-SA"/>
              </w:rPr>
            </w:pPr>
          </w:p>
        </w:tc>
        <w:tc>
          <w:tcPr>
            <w:tcW w:w="1990"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保证金须满足要求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color w:val="auto"/>
                <w:szCs w:val="21"/>
                <w:highlight w:val="none"/>
              </w:rPr>
            </w:pPr>
          </w:p>
        </w:tc>
        <w:tc>
          <w:tcPr>
            <w:tcW w:w="1990"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法定代表人/负责人资格证明书及授权委托书</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按对应格式文件签署、盖章(原件)</w:t>
            </w:r>
          </w:p>
        </w:tc>
        <w:tc>
          <w:tcPr>
            <w:tcW w:w="1975" w:type="dxa"/>
            <w:vAlign w:val="center"/>
          </w:tcPr>
          <w:p>
            <w:pPr>
              <w:pStyle w:val="9"/>
              <w:rPr>
                <w:rFonts w:ascii="宋体" w:hAnsi="宋体"/>
                <w:bCs/>
                <w:color w:val="auto"/>
                <w:szCs w:val="21"/>
                <w:highlight w:val="none"/>
              </w:rPr>
            </w:pPr>
          </w:p>
        </w:tc>
        <w:tc>
          <w:tcPr>
            <w:tcW w:w="1990"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其他要求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按投标资料清单中规定提供“必须提交”的文件资料</w:t>
            </w:r>
          </w:p>
        </w:tc>
        <w:tc>
          <w:tcPr>
            <w:tcW w:w="1975" w:type="dxa"/>
            <w:vAlign w:val="center"/>
          </w:tcPr>
          <w:p>
            <w:pPr>
              <w:tabs>
                <w:tab w:val="left" w:pos="480"/>
              </w:tabs>
              <w:ind w:left="480" w:hanging="480"/>
              <w:rPr>
                <w:color w:val="auto"/>
                <w:highlight w:val="none"/>
              </w:rPr>
            </w:pPr>
          </w:p>
        </w:tc>
        <w:tc>
          <w:tcPr>
            <w:tcW w:w="1990"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 xml:space="preserve">    2.</w:t>
      </w:r>
      <w:r>
        <w:rPr>
          <w:rFonts w:hint="eastAsia" w:ascii="宋体" w:hAnsi="宋体"/>
          <w:bCs/>
          <w:color w:val="auto"/>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r>
        <w:rPr>
          <w:rFonts w:hint="eastAsia"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pStyle w:val="4"/>
        <w:keepLines w:val="0"/>
        <w:numPr>
          <w:ilvl w:val="0"/>
          <w:numId w:val="0"/>
        </w:numPr>
        <w:tabs>
          <w:tab w:val="left" w:pos="4320"/>
        </w:tabs>
        <w:spacing w:before="240" w:after="60" w:line="480" w:lineRule="exact"/>
        <w:rPr>
          <w:rFonts w:ascii="宋体"/>
          <w:b/>
          <w:color w:val="auto"/>
          <w:szCs w:val="21"/>
          <w:highlight w:val="none"/>
        </w:rPr>
      </w:pPr>
      <w:r>
        <w:rPr>
          <w:rFonts w:ascii="宋体"/>
          <w:b/>
          <w:bCs w:val="0"/>
          <w:color w:val="auto"/>
          <w:szCs w:val="21"/>
          <w:highlight w:val="none"/>
        </w:rPr>
        <w:t xml:space="preserve">  </w:t>
      </w:r>
      <w:bookmarkStart w:id="1664" w:name="_Toc26704"/>
      <w:r>
        <w:rPr>
          <w:rFonts w:hint="eastAsia" w:ascii="宋体"/>
          <w:b/>
          <w:color w:val="auto"/>
          <w:szCs w:val="21"/>
          <w:highlight w:val="none"/>
        </w:rPr>
        <w:t xml:space="preserve"> </w:t>
      </w:r>
      <w:bookmarkStart w:id="1665" w:name="_Toc4533"/>
      <w:r>
        <w:rPr>
          <w:rFonts w:hint="eastAsia" w:ascii="宋体"/>
          <w:b/>
          <w:color w:val="auto"/>
          <w:szCs w:val="21"/>
          <w:highlight w:val="none"/>
        </w:rPr>
        <w:t>评审项目投标资料表</w:t>
      </w:r>
      <w:bookmarkEnd w:id="1664"/>
      <w:bookmarkEnd w:id="1665"/>
    </w:p>
    <w:p>
      <w:pPr>
        <w:jc w:val="center"/>
        <w:rPr>
          <w:rFonts w:ascii="宋体" w:hAnsi="宋体" w:eastAsia="黑体"/>
          <w:b/>
          <w:color w:val="auto"/>
          <w:kern w:val="44"/>
          <w:szCs w:val="21"/>
          <w:highlight w:val="none"/>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auto"/>
                <w:sz w:val="21"/>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2"/>
              <w:ind w:left="420" w:firstLine="420"/>
              <w:rPr>
                <w:rFonts w:ascii="宋体" w:hAnsi="宋体"/>
                <w:color w:val="auto"/>
                <w:szCs w:val="21"/>
                <w:highlight w:val="none"/>
              </w:rPr>
            </w:pPr>
          </w:p>
        </w:tc>
        <w:tc>
          <w:tcPr>
            <w:tcW w:w="2300" w:type="dxa"/>
            <w:vAlign w:val="center"/>
          </w:tcPr>
          <w:p>
            <w:pPr>
              <w:pStyle w:val="32"/>
              <w:rPr>
                <w:rFonts w:ascii="宋体" w:hAnsi="宋体"/>
                <w:color w:val="auto"/>
                <w:szCs w:val="21"/>
                <w:highlight w:val="none"/>
              </w:rPr>
            </w:pPr>
            <w:r>
              <w:rPr>
                <w:rFonts w:hint="eastAsia" w:ascii="宋体" w:hAnsi="宋体"/>
                <w:color w:val="auto"/>
                <w:szCs w:val="21"/>
                <w:highlight w:val="none"/>
              </w:rPr>
              <w:t>见投标文件第（）页</w:t>
            </w:r>
          </w:p>
        </w:tc>
      </w:tr>
    </w:tbl>
    <w:p>
      <w:pPr>
        <w:adjustRightInd w:val="0"/>
        <w:snapToGrid w:val="0"/>
        <w:spacing w:line="300" w:lineRule="auto"/>
        <w:rPr>
          <w:rFonts w:ascii="宋体" w:hAnsi="宋体"/>
          <w:color w:val="auto"/>
          <w:szCs w:val="21"/>
          <w:highlight w:val="none"/>
        </w:rPr>
      </w:pPr>
    </w:p>
    <w:p>
      <w:pPr>
        <w:adjustRightInd w:val="0"/>
        <w:snapToGrid w:val="0"/>
        <w:spacing w:line="300" w:lineRule="auto"/>
        <w:rPr>
          <w:rFonts w:ascii="宋体" w:hAnsi="宋体"/>
          <w:color w:val="auto"/>
          <w:szCs w:val="21"/>
          <w:highlight w:val="none"/>
        </w:rPr>
      </w:pPr>
    </w:p>
    <w:p>
      <w:pPr>
        <w:spacing w:line="36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pStyle w:val="5"/>
        <w:rPr>
          <w:color w:val="auto"/>
          <w:highlight w:val="none"/>
        </w:rPr>
      </w:pPr>
    </w:p>
    <w:p>
      <w:pPr>
        <w:pStyle w:val="5"/>
        <w:rPr>
          <w:color w:val="auto"/>
          <w:highlight w:val="none"/>
        </w:rPr>
      </w:pPr>
    </w:p>
    <w:bookmarkEnd w:id="1332"/>
    <w:bookmarkEnd w:id="1333"/>
    <w:bookmarkEnd w:id="1334"/>
    <w:bookmarkEnd w:id="1335"/>
    <w:bookmarkEnd w:id="1336"/>
    <w:p>
      <w:pPr>
        <w:tabs>
          <w:tab w:val="center" w:pos="4483"/>
        </w:tabs>
        <w:rPr>
          <w:rFonts w:ascii="宋体" w:hAnsi="宋体"/>
          <w:bCs/>
          <w:color w:val="auto"/>
          <w:szCs w:val="21"/>
          <w:highlight w:val="none"/>
        </w:rPr>
      </w:pPr>
      <w:bookmarkStart w:id="1666" w:name="_Toc480010736"/>
      <w:bookmarkStart w:id="1667" w:name="_Toc458262638"/>
      <w:bookmarkStart w:id="1668" w:name="_Toc480020285"/>
      <w:bookmarkStart w:id="1669" w:name="_Toc480021081"/>
      <w:bookmarkStart w:id="1670" w:name="_Toc6397150"/>
      <w:bookmarkStart w:id="1671" w:name="_Toc479991610"/>
      <w:bookmarkStart w:id="1672" w:name="_Toc491658679"/>
      <w:bookmarkStart w:id="1673" w:name="_Toc6727971"/>
      <w:bookmarkStart w:id="1674" w:name="_Toc467987851"/>
      <w:bookmarkStart w:id="1675" w:name="_Toc468606057"/>
      <w:bookmarkStart w:id="1676" w:name="_Toc454701405"/>
      <w:bookmarkStart w:id="1677" w:name="_Toc500861026"/>
      <w:bookmarkStart w:id="1678" w:name="_Toc468157564"/>
      <w:bookmarkStart w:id="1679" w:name="_Toc467236768"/>
    </w:p>
    <w:p>
      <w:pPr>
        <w:pStyle w:val="4"/>
        <w:numPr>
          <w:ilvl w:val="0"/>
          <w:numId w:val="0"/>
        </w:numPr>
        <w:rPr>
          <w:color w:val="auto"/>
          <w:highlight w:val="none"/>
        </w:rPr>
      </w:pPr>
      <w:bookmarkStart w:id="1680" w:name="_Toc13455"/>
      <w:bookmarkStart w:id="1681" w:name="_Toc23015"/>
      <w:r>
        <w:rPr>
          <w:rFonts w:hint="eastAsia"/>
          <w:color w:val="auto"/>
          <w:highlight w:val="none"/>
        </w:rPr>
        <w:t>（一）法定代表人（负责人）证明书</w:t>
      </w:r>
      <w:bookmarkEnd w:id="1680"/>
      <w:bookmarkEnd w:id="1681"/>
    </w:p>
    <w:p>
      <w:pPr>
        <w:pStyle w:val="5"/>
        <w:rPr>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u w:val="single"/>
        </w:rPr>
        <w:t xml:space="preserve">      单位法定代表人（负责人）姓名     </w:t>
      </w:r>
      <w:r>
        <w:rPr>
          <w:rFonts w:hint="eastAsia" w:ascii="宋体" w:hAnsi="宋体"/>
          <w:color w:val="auto"/>
          <w:highlight w:val="none"/>
        </w:rPr>
        <w:t>同志，现任</w:t>
      </w:r>
      <w:r>
        <w:rPr>
          <w:rFonts w:hint="eastAsia" w:ascii="宋体" w:hAnsi="宋体"/>
          <w:color w:val="auto"/>
          <w:highlight w:val="none"/>
          <w:u w:val="single"/>
        </w:rPr>
        <w:t xml:space="preserve">       投标人名称                  </w:t>
      </w:r>
      <w:r>
        <w:rPr>
          <w:rFonts w:hint="eastAsia" w:ascii="宋体" w:hAnsi="宋体"/>
          <w:color w:val="auto"/>
          <w:highlight w:val="none"/>
        </w:rPr>
        <w:t>的</w:t>
      </w:r>
      <w:r>
        <w:rPr>
          <w:rFonts w:hint="eastAsia" w:ascii="宋体" w:hAnsi="宋体"/>
          <w:color w:val="auto"/>
          <w:highlight w:val="none"/>
          <w:u w:val="single"/>
        </w:rPr>
        <w:t xml:space="preserve">   职务    </w:t>
      </w:r>
      <w:r>
        <w:rPr>
          <w:rFonts w:hint="eastAsia" w:ascii="宋体" w:hAnsi="宋体"/>
          <w:color w:val="auto"/>
          <w:highlight w:val="none"/>
        </w:rPr>
        <w:t>，为法定代表人（负责人），特此证明。</w:t>
      </w:r>
    </w:p>
    <w:p>
      <w:pPr>
        <w:spacing w:line="560" w:lineRule="exact"/>
        <w:ind w:firstLine="420" w:firstLineChars="200"/>
        <w:rPr>
          <w:rFonts w:ascii="宋体" w:hAnsi="宋体"/>
          <w:color w:val="auto"/>
          <w:highlight w:val="none"/>
        </w:rPr>
      </w:pPr>
      <w:r>
        <w:rPr>
          <w:rFonts w:hint="eastAsia" w:ascii="宋体" w:hAnsi="宋体"/>
          <w:color w:val="auto"/>
          <w:highlight w:val="none"/>
        </w:rPr>
        <w:t xml:space="preserve">      </w:t>
      </w:r>
    </w:p>
    <w:p>
      <w:pPr>
        <w:spacing w:line="560" w:lineRule="exact"/>
        <w:ind w:firstLine="420" w:firstLineChars="200"/>
        <w:rPr>
          <w:rFonts w:ascii="宋体" w:hAnsi="宋体"/>
          <w:color w:val="auto"/>
          <w:highlight w:val="none"/>
          <w:u w:val="singl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rPr>
        <w:t>附：代表人性别：</w:t>
      </w:r>
      <w:r>
        <w:rPr>
          <w:rFonts w:hint="eastAsia" w:ascii="宋体" w:hAnsi="宋体"/>
          <w:color w:val="auto"/>
          <w:highlight w:val="none"/>
          <w:u w:val="single"/>
        </w:rPr>
        <w:t xml:space="preserve">           </w:t>
      </w:r>
      <w:r>
        <w:rPr>
          <w:rFonts w:hint="eastAsia" w:ascii="宋体" w:hAnsi="宋体"/>
          <w:color w:val="auto"/>
          <w:highlight w:val="none"/>
        </w:rPr>
        <w:t xml:space="preserve">    年龄：</w:t>
      </w:r>
      <w:r>
        <w:rPr>
          <w:rFonts w:hint="eastAsia" w:ascii="宋体" w:hAnsi="宋体"/>
          <w:color w:val="auto"/>
          <w:highlight w:val="none"/>
          <w:u w:val="single"/>
        </w:rPr>
        <w:t xml:space="preserve">       </w:t>
      </w:r>
      <w:r>
        <w:rPr>
          <w:rFonts w:hint="eastAsia" w:ascii="宋体" w:hAnsi="宋体"/>
          <w:color w:val="auto"/>
          <w:highlight w:val="none"/>
        </w:rPr>
        <w:t xml:space="preserve">岁    </w:t>
      </w:r>
    </w:p>
    <w:p>
      <w:pPr>
        <w:spacing w:line="480" w:lineRule="exact"/>
        <w:ind w:firstLine="420" w:firstLineChars="200"/>
        <w:rPr>
          <w:rFonts w:ascii="宋体" w:hAnsi="宋体"/>
          <w:color w:val="auto"/>
          <w:highlight w:val="none"/>
        </w:rPr>
      </w:pPr>
    </w:p>
    <w:p>
      <w:pPr>
        <w:spacing w:line="480" w:lineRule="exact"/>
        <w:ind w:firstLine="420" w:firstLineChars="200"/>
        <w:rPr>
          <w:rFonts w:ascii="宋体" w:hAnsi="宋体"/>
          <w:color w:val="auto"/>
          <w:highlight w:val="none"/>
        </w:rPr>
      </w:pPr>
      <w:r>
        <w:rPr>
          <w:rFonts w:hint="eastAsia" w:ascii="宋体" w:hAnsi="宋体"/>
          <w:color w:val="auto"/>
          <w:highlight w:val="none"/>
        </w:rPr>
        <w:t>说明： 内容必须填写真实、清楚，涂改无效，不得转让、买卖。</w:t>
      </w:r>
    </w:p>
    <w:p>
      <w:pPr>
        <w:spacing w:line="480" w:lineRule="exact"/>
        <w:ind w:firstLine="420" w:firstLineChars="200"/>
        <w:rPr>
          <w:rFonts w:ascii="宋体" w:hAnsi="宋体"/>
          <w:color w:val="auto"/>
          <w:highlight w:val="none"/>
        </w:rPr>
      </w:pPr>
    </w:p>
    <w:p>
      <w:pPr>
        <w:pStyle w:val="5"/>
        <w:rPr>
          <w:rFonts w:hAnsi="宋体"/>
          <w:color w:val="auto"/>
          <w:sz w:val="21"/>
          <w:highlight w:val="none"/>
        </w:rPr>
      </w:pPr>
    </w:p>
    <w:p>
      <w:pPr>
        <w:pStyle w:val="5"/>
        <w:rPr>
          <w:color w:val="auto"/>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auto"/>
          <w:highlight w:val="none"/>
        </w:rPr>
      </w:pPr>
      <w:bookmarkStart w:id="1682" w:name="_Toc27194"/>
      <w:bookmarkStart w:id="1683" w:name="_Toc20336"/>
      <w:r>
        <w:rPr>
          <w:rFonts w:hint="eastAsia"/>
          <w:color w:val="auto"/>
          <w:highlight w:val="none"/>
        </w:rPr>
        <w:t>（二）法定代表人（负责人）授权书</w:t>
      </w:r>
      <w:bookmarkEnd w:id="1682"/>
      <w:bookmarkEnd w:id="1683"/>
    </w:p>
    <w:p>
      <w:pPr>
        <w:spacing w:line="360" w:lineRule="auto"/>
        <w:ind w:firstLine="420" w:firstLineChars="200"/>
        <w:rPr>
          <w:rFonts w:ascii="宋体" w:hAnsi="宋体"/>
          <w:bCs/>
          <w:color w:val="auto"/>
          <w:kern w:val="0"/>
          <w:highlight w:val="none"/>
        </w:rPr>
      </w:pPr>
    </w:p>
    <w:p>
      <w:pPr>
        <w:spacing w:line="360" w:lineRule="auto"/>
        <w:ind w:firstLine="420" w:firstLineChars="200"/>
        <w:rPr>
          <w:color w:val="auto"/>
          <w:highlight w:val="none"/>
        </w:rPr>
      </w:pPr>
      <w:r>
        <w:rPr>
          <w:rFonts w:hint="eastAsia" w:ascii="宋体" w:hAnsi="宋体"/>
          <w:bCs/>
          <w:color w:val="auto"/>
          <w:kern w:val="0"/>
          <w:highlight w:val="none"/>
        </w:rPr>
        <w:t>本授权委托书声明：我</w:t>
      </w:r>
      <w:r>
        <w:rPr>
          <w:rFonts w:hint="eastAsia" w:ascii="宋体" w:hAnsi="宋体"/>
          <w:bCs/>
          <w:color w:val="auto"/>
          <w:kern w:val="0"/>
          <w:highlight w:val="none"/>
          <w:u w:val="single"/>
        </w:rPr>
        <w:t xml:space="preserve">       （单位法定代表人（负责人）姓名）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的法定代表人（负责人），现授权委托</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w:t>
      </w:r>
      <w:r>
        <w:rPr>
          <w:rFonts w:hint="eastAsia" w:ascii="宋体" w:hAnsi="宋体"/>
          <w:bCs/>
          <w:color w:val="auto"/>
          <w:kern w:val="0"/>
          <w:highlight w:val="none"/>
          <w:u w:val="single"/>
        </w:rPr>
        <w:t xml:space="preserve">            （代理人姓名）</w:t>
      </w:r>
      <w:r>
        <w:rPr>
          <w:rFonts w:hint="eastAsia" w:ascii="宋体" w:hAnsi="宋体"/>
          <w:bCs/>
          <w:color w:val="auto"/>
          <w:kern w:val="0"/>
          <w:highlight w:val="none"/>
        </w:rPr>
        <w:t>为我公司代理人，以本公司的名义参加</w:t>
      </w:r>
      <w:r>
        <w:rPr>
          <w:rFonts w:hint="eastAsia" w:ascii="宋体" w:hAnsi="宋体"/>
          <w:bCs/>
          <w:color w:val="auto"/>
          <w:kern w:val="0"/>
          <w:highlight w:val="none"/>
          <w:lang w:eastAsia="zh-CN"/>
        </w:rPr>
        <w:t>广东业信招标有限公司</w:t>
      </w:r>
      <w:r>
        <w:rPr>
          <w:rFonts w:hint="eastAsia" w:ascii="宋体" w:hAnsi="宋体"/>
          <w:bCs/>
          <w:color w:val="auto"/>
          <w:kern w:val="0"/>
          <w:highlight w:val="none"/>
        </w:rPr>
        <w:t>组织的</w:t>
      </w:r>
      <w:r>
        <w:rPr>
          <w:rFonts w:hint="eastAsia"/>
          <w:color w:val="auto"/>
          <w:szCs w:val="21"/>
          <w:highlight w:val="none"/>
        </w:rPr>
        <w:t>（项目名称：</w:t>
      </w:r>
      <w:r>
        <w:rPr>
          <w:rFonts w:hint="eastAsia"/>
          <w:color w:val="auto"/>
          <w:szCs w:val="21"/>
          <w:highlight w:val="none"/>
          <w:u w:val="single"/>
        </w:rPr>
        <w:t xml:space="preserve">                      </w:t>
      </w:r>
      <w:r>
        <w:rPr>
          <w:rFonts w:hint="eastAsia"/>
          <w:color w:val="auto"/>
          <w:szCs w:val="21"/>
          <w:highlight w:val="none"/>
        </w:rPr>
        <w:t>）</w:t>
      </w:r>
      <w:r>
        <w:rPr>
          <w:rFonts w:hint="eastAsia" w:ascii="宋体" w:hAnsi="宋体"/>
          <w:bCs/>
          <w:color w:val="auto"/>
          <w:highlight w:val="none"/>
        </w:rPr>
        <w:t>招标（</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ascii="宋体" w:hAnsi="宋体"/>
          <w:bCs/>
          <w:color w:val="auto"/>
          <w:highlight w:val="none"/>
        </w:rPr>
        <w:t>）</w:t>
      </w:r>
      <w:r>
        <w:rPr>
          <w:rFonts w:hint="eastAsia" w:ascii="宋体" w:hAnsi="宋体"/>
          <w:bCs/>
          <w:color w:val="auto"/>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代理人无转移委托权。</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特此委托。</w:t>
      </w:r>
    </w:p>
    <w:p>
      <w:pPr>
        <w:autoSpaceDE w:val="0"/>
        <w:autoSpaceDN w:val="0"/>
        <w:adjustRightInd w:val="0"/>
        <w:snapToGrid w:val="0"/>
        <w:spacing w:line="440" w:lineRule="exact"/>
        <w:ind w:firstLine="600"/>
        <w:jc w:val="left"/>
        <w:rPr>
          <w:rFonts w:ascii="宋体" w:hAnsi="宋体"/>
          <w:bCs/>
          <w:color w:val="auto"/>
          <w:kern w:val="0"/>
          <w:highlight w:val="none"/>
        </w:rPr>
      </w:pP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代理人：</w:t>
      </w:r>
      <w:r>
        <w:rPr>
          <w:rFonts w:hint="eastAsia" w:ascii="宋体" w:hAnsi="宋体"/>
          <w:bCs/>
          <w:color w:val="auto"/>
          <w:kern w:val="0"/>
          <w:highlight w:val="none"/>
          <w:u w:val="single"/>
        </w:rPr>
        <w:t xml:space="preserve">   </w:t>
      </w:r>
      <w:r>
        <w:rPr>
          <w:rFonts w:ascii="宋体" w:hAnsi="宋体"/>
          <w:bCs/>
          <w:color w:val="auto"/>
          <w:kern w:val="0"/>
          <w:highlight w:val="none"/>
          <w:u w:val="single"/>
        </w:rPr>
        <w:t xml:space="preserve"> </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性别：</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年龄：</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职务：</w:t>
      </w:r>
      <w:r>
        <w:rPr>
          <w:rFonts w:hint="eastAsia" w:ascii="宋体" w:hAnsi="宋体"/>
          <w:bCs/>
          <w:color w:val="auto"/>
          <w:kern w:val="0"/>
          <w:highlight w:val="none"/>
          <w:u w:val="single"/>
        </w:rPr>
        <w:t xml:space="preserve">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投标人：</w:t>
      </w:r>
      <w:r>
        <w:rPr>
          <w:rFonts w:hint="eastAsia" w:ascii="宋体" w:hAnsi="宋体"/>
          <w:bCs/>
          <w:color w:val="auto"/>
          <w:kern w:val="0"/>
          <w:highlight w:val="none"/>
          <w:u w:val="single"/>
        </w:rPr>
        <w:t xml:space="preserve">          （名称并加盖公章）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法定代表人（负责人）：</w:t>
      </w:r>
      <w:r>
        <w:rPr>
          <w:rFonts w:hint="eastAsia" w:ascii="宋体" w:hAnsi="宋体"/>
          <w:bCs/>
          <w:color w:val="auto"/>
          <w:kern w:val="0"/>
          <w:highlight w:val="none"/>
          <w:u w:val="single"/>
        </w:rPr>
        <w:t xml:space="preserve">    （签字或盖章）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autoSpaceDE w:val="0"/>
        <w:autoSpaceDN w:val="0"/>
        <w:adjustRightInd w:val="0"/>
        <w:snapToGrid w:val="0"/>
        <w:spacing w:line="360" w:lineRule="auto"/>
        <w:ind w:firstLine="630"/>
        <w:rPr>
          <w:rFonts w:ascii="宋体" w:hAnsi="宋体"/>
          <w:bCs/>
          <w:color w:val="auto"/>
          <w:kern w:val="0"/>
          <w:highlight w:val="none"/>
        </w:rPr>
      </w:pPr>
    </w:p>
    <w:p>
      <w:pPr>
        <w:rPr>
          <w:rFonts w:ascii="宋体" w:hAnsi="宋体"/>
          <w:b/>
          <w:color w:val="auto"/>
          <w:szCs w:val="21"/>
          <w:highlight w:val="none"/>
        </w:rPr>
      </w:pPr>
      <w:r>
        <w:rPr>
          <w:rFonts w:hint="eastAsia" w:ascii="宋体" w:hAnsi="宋体"/>
          <w:b/>
          <w:color w:val="auto"/>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auto"/>
          <w:highlight w:val="none"/>
        </w:rPr>
      </w:pPr>
    </w:p>
    <w:p>
      <w:pPr>
        <w:rPr>
          <w:color w:val="auto"/>
          <w:highlight w:val="none"/>
        </w:rPr>
      </w:pPr>
    </w:p>
    <w:p>
      <w:pPr>
        <w:rPr>
          <w:color w:val="auto"/>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sectPr>
          <w:footerReference r:id="rId13" w:type="default"/>
          <w:pgSz w:w="11906" w:h="16838"/>
          <w:pgMar w:top="1418" w:right="1474" w:bottom="1418" w:left="1474" w:header="851" w:footer="851" w:gutter="0"/>
          <w:cols w:space="720" w:num="1"/>
          <w:titlePg/>
          <w:docGrid w:linePitch="312" w:charSpace="0"/>
        </w:sectPr>
      </w:pPr>
    </w:p>
    <w:p>
      <w:pPr>
        <w:pStyle w:val="4"/>
        <w:numPr>
          <w:ilvl w:val="0"/>
          <w:numId w:val="0"/>
        </w:numPr>
        <w:rPr>
          <w:color w:val="auto"/>
          <w:highlight w:val="none"/>
        </w:rPr>
      </w:pPr>
      <w:bookmarkStart w:id="1684" w:name="_Toc333237810"/>
      <w:bookmarkStart w:id="1685" w:name="_Toc331512922"/>
      <w:bookmarkStart w:id="1686" w:name="_Toc343612941"/>
      <w:bookmarkStart w:id="1687" w:name="_Toc339020116"/>
      <w:bookmarkStart w:id="1688" w:name="_Toc342398151"/>
      <w:bookmarkStart w:id="1689" w:name="_Toc331684063"/>
      <w:bookmarkStart w:id="1690" w:name="_Toc342296782"/>
      <w:bookmarkStart w:id="1691" w:name="_Toc342060396"/>
      <w:bookmarkStart w:id="1692" w:name="_Toc339020036"/>
      <w:bookmarkStart w:id="1693" w:name="_Toc333237699"/>
      <w:bookmarkStart w:id="1694" w:name="_Toc339019910"/>
      <w:bookmarkStart w:id="1695" w:name="_Toc332270368"/>
      <w:bookmarkStart w:id="1696" w:name="_Toc350438770"/>
      <w:bookmarkStart w:id="1697" w:name="_Toc342312464"/>
      <w:bookmarkStart w:id="1698" w:name="_Toc330460007"/>
      <w:bookmarkStart w:id="1699" w:name="_Toc343247121"/>
      <w:bookmarkStart w:id="1700" w:name="_Toc365967093"/>
      <w:bookmarkStart w:id="1701" w:name="_Toc339362321"/>
      <w:bookmarkStart w:id="1702" w:name="_Toc365985199"/>
      <w:bookmarkStart w:id="1703" w:name="_Toc336681956"/>
      <w:bookmarkStart w:id="1704" w:name="_Toc345312618"/>
      <w:bookmarkStart w:id="1705" w:name="_Toc332206730"/>
      <w:bookmarkStart w:id="1706" w:name="_Toc336681601"/>
      <w:bookmarkStart w:id="1707" w:name="_Toc339020254"/>
      <w:bookmarkStart w:id="1708" w:name="_Toc340672890"/>
      <w:bookmarkStart w:id="1709" w:name="_Toc340677091"/>
      <w:bookmarkStart w:id="1710" w:name="_Toc341348361"/>
      <w:bookmarkStart w:id="1711" w:name="_Toc333238655"/>
      <w:bookmarkStart w:id="1712" w:name="_Toc337632379"/>
      <w:bookmarkStart w:id="1713" w:name="_Toc340507463"/>
      <w:bookmarkStart w:id="1714" w:name="_Toc339441108"/>
      <w:bookmarkStart w:id="1715" w:name="_Toc333935367"/>
      <w:bookmarkStart w:id="1716" w:name="_Toc333935708"/>
      <w:bookmarkStart w:id="1717" w:name="_Toc366072550"/>
      <w:bookmarkStart w:id="1718" w:name="_Toc343248439"/>
      <w:bookmarkStart w:id="1719" w:name="_Toc350756471"/>
      <w:bookmarkStart w:id="1720" w:name="_Toc483"/>
      <w:r>
        <w:rPr>
          <w:rFonts w:hint="eastAsia"/>
          <w:color w:val="auto"/>
          <w:highlight w:val="none"/>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auto"/>
          <w:highlight w:val="none"/>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auto"/>
          <w:kern w:val="0"/>
          <w:sz w:val="24"/>
          <w:highlight w:val="none"/>
          <w:u w:val="single"/>
        </w:rPr>
      </w:pPr>
      <w:r>
        <w:rPr>
          <w:rFonts w:ascii="宋体" w:hAnsi="宋体"/>
          <w:b/>
          <w:bCs/>
          <w:color w:val="auto"/>
          <w:highlight w:val="none"/>
        </w:rPr>
        <w:t>致</w:t>
      </w:r>
      <w:r>
        <w:rPr>
          <w:rFonts w:ascii="宋体" w:hAnsi="宋体"/>
          <w:b/>
          <w:bCs/>
          <w:color w:val="auto"/>
          <w:highlight w:val="none"/>
          <w:u w:val="single"/>
        </w:rPr>
        <w:t>（采购人</w:t>
      </w:r>
      <w:r>
        <w:rPr>
          <w:rFonts w:hint="eastAsia" w:ascii="宋体" w:hAnsi="宋体"/>
          <w:b/>
          <w:bCs/>
          <w:color w:val="auto"/>
          <w:highlight w:val="none"/>
          <w:u w:val="single"/>
        </w:rPr>
        <w:t>名称</w:t>
      </w:r>
      <w:r>
        <w:rPr>
          <w:rFonts w:ascii="宋体" w:hAnsi="宋体"/>
          <w:b/>
          <w:bCs/>
          <w:color w:val="auto"/>
          <w:highlight w:val="none"/>
          <w:u w:val="single"/>
        </w:rPr>
        <w:t>）           </w:t>
      </w:r>
      <w:r>
        <w:rPr>
          <w:rFonts w:ascii="宋体" w:hAnsi="宋体" w:cs="宋体"/>
          <w:b/>
          <w:color w:val="auto"/>
          <w:kern w:val="0"/>
          <w:sz w:val="24"/>
          <w:highlight w:val="none"/>
        </w:rPr>
        <w:t xml:space="preserve">： </w:t>
      </w:r>
    </w:p>
    <w:p>
      <w:pPr>
        <w:adjustRightInd w:val="0"/>
        <w:snapToGrid w:val="0"/>
        <w:spacing w:line="400" w:lineRule="exact"/>
        <w:ind w:firstLine="420"/>
        <w:rPr>
          <w:rFonts w:ascii="宋体" w:hAnsi="宋体"/>
          <w:b/>
          <w:bCs/>
          <w:color w:val="auto"/>
          <w:highlight w:val="none"/>
        </w:rPr>
      </w:pPr>
      <w:r>
        <w:rPr>
          <w:rFonts w:hint="eastAsia" w:ascii="宋体" w:hAnsi="宋体"/>
          <w:b/>
          <w:bCs/>
          <w:color w:val="auto"/>
          <w:highlight w:val="none"/>
        </w:rPr>
        <w:t>根据贵方就</w:t>
      </w:r>
      <w:r>
        <w:rPr>
          <w:rFonts w:hint="eastAsia" w:hAnsi="宋体" w:cs="宋体"/>
          <w:b/>
          <w:color w:val="auto"/>
          <w:szCs w:val="21"/>
          <w:highlight w:val="none"/>
          <w:u w:val="single"/>
        </w:rPr>
        <w:t>项目名称</w:t>
      </w:r>
      <w:r>
        <w:rPr>
          <w:rFonts w:hint="eastAsia" w:ascii="宋体" w:hAnsi="宋体" w:cs="宋体"/>
          <w:b/>
          <w:color w:val="auto"/>
          <w:szCs w:val="21"/>
          <w:highlight w:val="none"/>
          <w:u w:val="single"/>
        </w:rPr>
        <w:t xml:space="preserve">，由投标人填写    </w:t>
      </w:r>
      <w:r>
        <w:rPr>
          <w:rFonts w:hint="eastAsia" w:ascii="宋体" w:hAnsi="宋体"/>
          <w:b/>
          <w:bCs/>
          <w:color w:val="auto"/>
          <w:highlight w:val="none"/>
        </w:rPr>
        <w:t>的投标邀请（项目编号:</w:t>
      </w:r>
      <w:r>
        <w:rPr>
          <w:rFonts w:hint="eastAsia" w:ascii="宋体" w:hAnsi="宋体"/>
          <w:b/>
          <w:bCs/>
          <w:color w:val="auto"/>
          <w:highlight w:val="none"/>
          <w:u w:val="single"/>
        </w:rPr>
        <w:t xml:space="preserve">            </w:t>
      </w:r>
      <w:r>
        <w:rPr>
          <w:rFonts w:hint="eastAsia" w:ascii="宋体" w:hAnsi="宋体"/>
          <w:b/>
          <w:bCs/>
          <w:color w:val="auto"/>
          <w:highlight w:val="none"/>
        </w:rPr>
        <w:t>），我方正式响应投标并提交投标文件</w:t>
      </w:r>
      <w:r>
        <w:rPr>
          <w:rFonts w:hint="eastAsia" w:ascii="宋体" w:hAnsi="宋体"/>
          <w:b/>
          <w:bCs/>
          <w:color w:val="auto"/>
          <w:highlight w:val="none"/>
          <w:u w:val="single"/>
        </w:rPr>
        <w:t xml:space="preserve">    </w:t>
      </w:r>
      <w:r>
        <w:rPr>
          <w:rFonts w:hint="eastAsia" w:ascii="宋体" w:hAnsi="宋体"/>
          <w:b/>
          <w:bCs/>
          <w:color w:val="auto"/>
          <w:highlight w:val="none"/>
        </w:rPr>
        <w:t>份正本和</w:t>
      </w:r>
      <w:r>
        <w:rPr>
          <w:rFonts w:hint="eastAsia" w:ascii="宋体" w:hAnsi="宋体"/>
          <w:b/>
          <w:bCs/>
          <w:color w:val="auto"/>
          <w:highlight w:val="none"/>
          <w:u w:val="single"/>
        </w:rPr>
        <w:t xml:space="preserve">    </w:t>
      </w:r>
      <w:r>
        <w:rPr>
          <w:rFonts w:hint="eastAsia" w:ascii="宋体" w:hAnsi="宋体"/>
          <w:b/>
          <w:bCs/>
          <w:color w:val="auto"/>
          <w:highlight w:val="none"/>
        </w:rPr>
        <w:t>份副本，</w:t>
      </w:r>
      <w:r>
        <w:rPr>
          <w:rFonts w:hint="eastAsia" w:ascii="宋体" w:hAnsi="宋体"/>
          <w:b/>
          <w:color w:val="auto"/>
          <w:kern w:val="0"/>
          <w:szCs w:val="21"/>
          <w:highlight w:val="none"/>
        </w:rPr>
        <w:t>电子文件</w:t>
      </w:r>
      <w:r>
        <w:rPr>
          <w:rFonts w:hint="eastAsia" w:ascii="宋体" w:hAnsi="宋体"/>
          <w:b/>
          <w:color w:val="auto"/>
          <w:kern w:val="0"/>
          <w:szCs w:val="21"/>
          <w:highlight w:val="none"/>
          <w:u w:val="single"/>
        </w:rPr>
        <w:t xml:space="preserve">    </w:t>
      </w:r>
      <w:r>
        <w:rPr>
          <w:rFonts w:hint="eastAsia" w:ascii="宋体" w:hAnsi="宋体"/>
          <w:b/>
          <w:color w:val="auto"/>
          <w:kern w:val="0"/>
          <w:szCs w:val="21"/>
          <w:highlight w:val="none"/>
        </w:rPr>
        <w:t>份</w:t>
      </w:r>
      <w:r>
        <w:rPr>
          <w:rFonts w:hint="eastAsia" w:ascii="宋体" w:hAnsi="宋体"/>
          <w:b/>
          <w:bCs/>
          <w:color w:val="auto"/>
          <w:highlight w:val="none"/>
        </w:rPr>
        <w:t>。</w:t>
      </w:r>
    </w:p>
    <w:p>
      <w:pPr>
        <w:widowControl/>
        <w:tabs>
          <w:tab w:val="left" w:pos="840"/>
        </w:tabs>
        <w:adjustRightInd w:val="0"/>
        <w:snapToGrid w:val="0"/>
        <w:rPr>
          <w:rFonts w:ascii="宋体" w:hAnsi="宋体"/>
          <w:b/>
          <w:bCs/>
          <w:color w:val="auto"/>
          <w:highlight w:val="none"/>
        </w:rPr>
      </w:pPr>
    </w:p>
    <w:p>
      <w:pPr>
        <w:widowControl/>
        <w:tabs>
          <w:tab w:val="left" w:pos="502"/>
        </w:tabs>
        <w:adjustRightInd w:val="0"/>
        <w:snapToGrid w:val="0"/>
        <w:spacing w:line="360" w:lineRule="auto"/>
        <w:ind w:left="374" w:leftChars="177" w:hanging="2" w:hangingChars="1"/>
        <w:rPr>
          <w:rFonts w:ascii="宋体" w:hAnsi="宋体"/>
          <w:b/>
          <w:color w:val="auto"/>
          <w:highlight w:val="none"/>
        </w:rPr>
      </w:pPr>
      <w:r>
        <w:rPr>
          <w:rFonts w:hint="eastAsia" w:ascii="宋体" w:hAnsi="宋体"/>
          <w:b/>
          <w:bCs/>
          <w:color w:val="auto"/>
          <w:highlight w:val="none"/>
        </w:rPr>
        <w:t>以</w:t>
      </w:r>
      <w:r>
        <w:rPr>
          <w:rFonts w:hint="eastAsia" w:ascii="宋体" w:hAnsi="宋体"/>
          <w:b/>
          <w:bCs/>
          <w:color w:val="auto"/>
          <w:highlight w:val="none"/>
          <w:u w:val="single"/>
        </w:rPr>
        <w:t xml:space="preserve">          </w:t>
      </w:r>
      <w:r>
        <w:rPr>
          <w:rFonts w:hint="eastAsia" w:ascii="宋体" w:hAnsi="宋体"/>
          <w:b/>
          <w:bCs/>
          <w:color w:val="auto"/>
          <w:highlight w:val="none"/>
        </w:rPr>
        <w:t>形式提交的投标保证金，金额为大写</w:t>
      </w:r>
      <w:r>
        <w:rPr>
          <w:rFonts w:hint="eastAsia" w:ascii="宋体"/>
          <w:b/>
          <w:color w:val="auto"/>
          <w:highlight w:val="none"/>
        </w:rPr>
        <w:t>人民币</w:t>
      </w:r>
      <w:r>
        <w:rPr>
          <w:rFonts w:hint="eastAsia" w:ascii="宋体"/>
          <w:b/>
          <w:color w:val="auto"/>
          <w:highlight w:val="none"/>
          <w:u w:val="single"/>
        </w:rPr>
        <w:t xml:space="preserve">             </w:t>
      </w:r>
      <w:r>
        <w:rPr>
          <w:rFonts w:hint="eastAsia" w:ascii="宋体"/>
          <w:b/>
          <w:color w:val="auto"/>
          <w:highlight w:val="none"/>
        </w:rPr>
        <w:t>（</w:t>
      </w:r>
      <w:r>
        <w:rPr>
          <w:rFonts w:hint="eastAsia" w:ascii="宋体"/>
          <w:b/>
          <w:bCs/>
          <w:color w:val="auto"/>
          <w:highlight w:val="none"/>
        </w:rPr>
        <w:t>￥</w:t>
      </w:r>
      <w:r>
        <w:rPr>
          <w:rFonts w:hint="eastAsia" w:ascii="宋体"/>
          <w:b/>
          <w:bCs/>
          <w:color w:val="auto"/>
          <w:highlight w:val="none"/>
          <w:u w:val="single"/>
        </w:rPr>
        <w:t xml:space="preserve">          </w:t>
      </w:r>
      <w:r>
        <w:rPr>
          <w:rFonts w:hint="eastAsia" w:ascii="宋体"/>
          <w:b/>
          <w:bCs/>
          <w:color w:val="auto"/>
          <w:highlight w:val="none"/>
        </w:rPr>
        <w:t>）。</w:t>
      </w:r>
    </w:p>
    <w:p>
      <w:pPr>
        <w:widowControl/>
        <w:tabs>
          <w:tab w:val="left" w:pos="502"/>
        </w:tabs>
        <w:adjustRightInd w:val="0"/>
        <w:snapToGrid w:val="0"/>
        <w:spacing w:line="360" w:lineRule="auto"/>
        <w:ind w:left="374" w:leftChars="177" w:hanging="2" w:hangingChars="1"/>
        <w:rPr>
          <w:rFonts w:ascii="宋体" w:hAnsi="宋体"/>
          <w:b/>
          <w:bCs/>
          <w:color w:val="auto"/>
          <w:highlight w:val="none"/>
        </w:rPr>
      </w:pPr>
      <w:r>
        <w:rPr>
          <w:rFonts w:hint="eastAsia" w:ascii="宋体" w:hAnsi="宋体"/>
          <w:b/>
          <w:bCs/>
          <w:color w:val="auto"/>
          <w:highlight w:val="none"/>
        </w:rPr>
        <w:t>据此函，签字代表宣布同意如下：</w:t>
      </w:r>
    </w:p>
    <w:p>
      <w:pPr>
        <w:widowControl/>
        <w:numPr>
          <w:ilvl w:val="0"/>
          <w:numId w:val="34"/>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本次投标所报内容完全按照招标文件要求填报，所有内容都是真实、准确的。</w:t>
      </w:r>
    </w:p>
    <w:p>
      <w:pPr>
        <w:widowControl/>
        <w:numPr>
          <w:ilvl w:val="0"/>
          <w:numId w:val="34"/>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投标人将按招标文件的规定履行全部合同责任和义务。</w:t>
      </w:r>
    </w:p>
    <w:p>
      <w:pPr>
        <w:widowControl/>
        <w:numPr>
          <w:ilvl w:val="0"/>
          <w:numId w:val="34"/>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投标人已详细审查全部招标文件，包括修改文件（如有的话）以及全部参考资料和有关附件。我们完全理解并同意放弃对这方面有不明及误解的权利。</w:t>
      </w:r>
    </w:p>
    <w:p>
      <w:pPr>
        <w:widowControl/>
        <w:numPr>
          <w:ilvl w:val="0"/>
          <w:numId w:val="34"/>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本次投标自开标日起有效期为90天。</w:t>
      </w:r>
    </w:p>
    <w:p>
      <w:pPr>
        <w:widowControl/>
        <w:numPr>
          <w:ilvl w:val="0"/>
          <w:numId w:val="34"/>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如果在规定的开标时间后，投标人在投标有效期内撤回投标文件，投标保证金将被贵</w:t>
      </w:r>
      <w:r>
        <w:rPr>
          <w:rFonts w:hint="eastAsia" w:ascii="宋体" w:hAnsi="宋体"/>
          <w:color w:val="auto"/>
          <w:szCs w:val="21"/>
          <w:highlight w:val="none"/>
        </w:rPr>
        <w:t>方</w:t>
      </w:r>
      <w:r>
        <w:rPr>
          <w:rFonts w:hint="eastAsia" w:ascii="宋体" w:hAnsi="宋体"/>
          <w:bCs/>
          <w:color w:val="auto"/>
          <w:highlight w:val="none"/>
        </w:rPr>
        <w:t>不予退还。</w:t>
      </w:r>
    </w:p>
    <w:p>
      <w:pPr>
        <w:widowControl/>
        <w:numPr>
          <w:ilvl w:val="0"/>
          <w:numId w:val="34"/>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投标人同意提供按照贵方可能要求与其投标有关的一切数据或资料，完全理解贵方不一定接受最低价的投标或收到的任何投标。</w:t>
      </w:r>
    </w:p>
    <w:p>
      <w:pPr>
        <w:widowControl/>
        <w:numPr>
          <w:ilvl w:val="0"/>
          <w:numId w:val="34"/>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与本投标有关的一切正式往来通讯请寄至投标文件封面指定地址、联系方式。</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23"/>
        <w:spacing w:line="400" w:lineRule="exact"/>
        <w:rPr>
          <w:rFonts w:hAnsi="宋体"/>
          <w:color w:val="auto"/>
          <w:highlight w:val="none"/>
        </w:rPr>
      </w:pPr>
      <w:r>
        <w:rPr>
          <w:rFonts w:hint="eastAsia" w:hAnsi="宋体"/>
          <w:color w:val="auto"/>
          <w:highlight w:val="none"/>
        </w:rPr>
        <w:t>注：本投标函为投标人响应本次招标项目的郑重承诺，投标人不得改动且必须满足。</w:t>
      </w:r>
    </w:p>
    <w:p>
      <w:pPr>
        <w:pStyle w:val="23"/>
        <w:spacing w:line="400" w:lineRule="exact"/>
        <w:rPr>
          <w:rFonts w:hAnsi="宋体"/>
          <w:color w:val="auto"/>
          <w:highlight w:val="none"/>
        </w:rPr>
      </w:pPr>
    </w:p>
    <w:p>
      <w:pPr>
        <w:rPr>
          <w:rFonts w:hint="eastAsia"/>
          <w:color w:val="auto"/>
          <w:highlight w:val="none"/>
        </w:rPr>
      </w:pPr>
      <w:bookmarkStart w:id="1721" w:name="_Hlt16935467"/>
      <w:bookmarkEnd w:id="1721"/>
      <w:bookmarkStart w:id="1722" w:name="_Toc343247122"/>
      <w:bookmarkStart w:id="1723" w:name="_Toc339362322"/>
      <w:bookmarkStart w:id="1724" w:name="_Toc339441109"/>
      <w:bookmarkStart w:id="1725" w:name="_Toc342312465"/>
      <w:bookmarkStart w:id="1726" w:name="_Toc342060397"/>
      <w:bookmarkStart w:id="1727" w:name="_Toc365967094"/>
      <w:bookmarkStart w:id="1728" w:name="_Toc332206731"/>
      <w:bookmarkStart w:id="1729" w:name="_Toc333935368"/>
      <w:bookmarkStart w:id="1730" w:name="_Toc340672891"/>
      <w:bookmarkStart w:id="1731" w:name="_Toc339020117"/>
      <w:bookmarkStart w:id="1732" w:name="_Toc336681602"/>
      <w:bookmarkStart w:id="1733" w:name="_Toc333237811"/>
      <w:bookmarkStart w:id="1734" w:name="_Toc333935709"/>
      <w:bookmarkStart w:id="1735" w:name="_Toc366072551"/>
      <w:bookmarkStart w:id="1736" w:name="_Toc342296783"/>
      <w:bookmarkStart w:id="1737" w:name="_Toc331684064"/>
      <w:bookmarkStart w:id="1738" w:name="_Toc332270369"/>
      <w:bookmarkStart w:id="1739" w:name="_Toc342398152"/>
      <w:bookmarkStart w:id="1740" w:name="_Toc343612942"/>
      <w:bookmarkStart w:id="1741" w:name="_Toc339020037"/>
      <w:bookmarkStart w:id="1742" w:name="_Toc333238656"/>
      <w:bookmarkStart w:id="1743" w:name="_Toc336681957"/>
      <w:bookmarkStart w:id="1744" w:name="_Toc339019911"/>
      <w:bookmarkStart w:id="1745" w:name="_Toc331512923"/>
      <w:bookmarkStart w:id="1746" w:name="_Toc340507464"/>
      <w:bookmarkStart w:id="1747" w:name="_Toc365985200"/>
      <w:bookmarkStart w:id="1748" w:name="_Toc330460008"/>
      <w:bookmarkStart w:id="1749" w:name="_Toc350756472"/>
      <w:bookmarkStart w:id="1750" w:name="_Toc339020255"/>
      <w:bookmarkStart w:id="1751" w:name="_Toc350438771"/>
      <w:bookmarkStart w:id="1752" w:name="_Toc333237700"/>
      <w:bookmarkStart w:id="1753" w:name="_Toc340677092"/>
      <w:bookmarkStart w:id="1754" w:name="_Toc343248440"/>
      <w:bookmarkStart w:id="1755" w:name="_Toc345312619"/>
      <w:bookmarkStart w:id="1756" w:name="_Toc341348362"/>
      <w:bookmarkStart w:id="1757" w:name="_Toc78816017"/>
      <w:bookmarkStart w:id="1758" w:name="_Toc337632380"/>
      <w:r>
        <w:rPr>
          <w:rFonts w:hint="eastAsia"/>
          <w:color w:val="auto"/>
          <w:highlight w:val="none"/>
        </w:rPr>
        <w:br w:type="page"/>
      </w:r>
    </w:p>
    <w:p>
      <w:pPr>
        <w:pStyle w:val="4"/>
        <w:numPr>
          <w:ilvl w:val="0"/>
          <w:numId w:val="0"/>
        </w:numPr>
        <w:spacing w:line="400" w:lineRule="exact"/>
        <w:rPr>
          <w:color w:val="auto"/>
          <w:highlight w:val="none"/>
        </w:rPr>
      </w:pPr>
      <w:bookmarkStart w:id="1759" w:name="_Toc30993"/>
      <w:r>
        <w:rPr>
          <w:rFonts w:hint="eastAsia"/>
          <w:color w:val="auto"/>
          <w:highlight w:val="none"/>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项目编号</w:t>
            </w:r>
          </w:p>
        </w:tc>
        <w:tc>
          <w:tcPr>
            <w:tcW w:w="3980"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项目名称</w:t>
            </w:r>
          </w:p>
        </w:tc>
        <w:tc>
          <w:tcPr>
            <w:tcW w:w="1673" w:type="dxa"/>
            <w:vAlign w:val="center"/>
          </w:tcPr>
          <w:p>
            <w:pPr>
              <w:jc w:val="center"/>
              <w:rPr>
                <w:rFonts w:ascii="宋体" w:hAnsi="宋体"/>
                <w:bCs/>
                <w:color w:val="auto"/>
                <w:highlight w:val="none"/>
              </w:rPr>
            </w:pPr>
            <w:r>
              <w:rPr>
                <w:rFonts w:hint="eastAsia" w:ascii="宋体" w:hAnsi="宋体"/>
                <w:bCs/>
                <w:color w:val="auto"/>
                <w:highlight w:val="none"/>
              </w:rPr>
              <w:t>服务期</w:t>
            </w:r>
          </w:p>
        </w:tc>
        <w:tc>
          <w:tcPr>
            <w:tcW w:w="1097"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auto"/>
                <w:highlight w:val="none"/>
              </w:rPr>
            </w:pPr>
          </w:p>
        </w:tc>
        <w:tc>
          <w:tcPr>
            <w:tcW w:w="3980" w:type="dxa"/>
            <w:vAlign w:val="center"/>
          </w:tcPr>
          <w:p>
            <w:pPr>
              <w:adjustRightInd w:val="0"/>
              <w:snapToGrid w:val="0"/>
              <w:spacing w:line="300" w:lineRule="exact"/>
              <w:jc w:val="center"/>
              <w:rPr>
                <w:rFonts w:ascii="宋体" w:hAnsi="宋体"/>
                <w:bCs/>
                <w:color w:val="auto"/>
                <w:highlight w:val="none"/>
              </w:rPr>
            </w:pPr>
          </w:p>
        </w:tc>
        <w:tc>
          <w:tcPr>
            <w:tcW w:w="1673" w:type="dxa"/>
            <w:vAlign w:val="center"/>
          </w:tcPr>
          <w:p>
            <w:pPr>
              <w:topLinePunct/>
              <w:jc w:val="left"/>
              <w:rPr>
                <w:rFonts w:ascii="宋体" w:hAnsi="宋体"/>
                <w:bCs/>
                <w:color w:val="auto"/>
                <w:highlight w:val="none"/>
                <w:u w:val="single"/>
              </w:rPr>
            </w:pPr>
          </w:p>
        </w:tc>
        <w:tc>
          <w:tcPr>
            <w:tcW w:w="1097" w:type="dxa"/>
            <w:vAlign w:val="center"/>
          </w:tcPr>
          <w:p>
            <w:pPr>
              <w:rPr>
                <w:rFonts w:ascii="宋体" w:hAnsi="宋体"/>
                <w:bCs/>
                <w:color w:val="auto"/>
                <w:highlight w:val="none"/>
              </w:rPr>
            </w:pPr>
          </w:p>
        </w:tc>
      </w:tr>
    </w:tbl>
    <w:p>
      <w:pPr>
        <w:spacing w:line="360" w:lineRule="auto"/>
        <w:rPr>
          <w:rFonts w:ascii="宋体" w:hAnsi="宋体"/>
          <w:bCs/>
          <w:color w:val="auto"/>
          <w:highlight w:val="none"/>
        </w:rPr>
      </w:pPr>
      <w:r>
        <w:rPr>
          <w:rFonts w:hint="eastAsia" w:ascii="宋体" w:hAnsi="宋体"/>
          <w:bCs/>
          <w:color w:val="auto"/>
          <w:highlight w:val="none"/>
        </w:rPr>
        <w:t>注：</w:t>
      </w:r>
    </w:p>
    <w:p>
      <w:pPr>
        <w:numPr>
          <w:ilvl w:val="0"/>
          <w:numId w:val="4"/>
        </w:numPr>
        <w:tabs>
          <w:tab w:val="left" w:pos="1365"/>
        </w:tabs>
        <w:spacing w:line="360" w:lineRule="auto"/>
        <w:rPr>
          <w:rFonts w:ascii="宋体" w:hAnsi="宋体"/>
          <w:bCs/>
          <w:color w:val="auto"/>
          <w:highlight w:val="none"/>
        </w:rPr>
      </w:pPr>
      <w:r>
        <w:rPr>
          <w:rFonts w:hint="eastAsia" w:ascii="宋体" w:hAnsi="宋体"/>
          <w:color w:val="auto"/>
          <w:highlight w:val="none"/>
        </w:rPr>
        <w:t>投标人填写此表时不得改变表格的形式。</w:t>
      </w:r>
    </w:p>
    <w:p>
      <w:pPr>
        <w:numPr>
          <w:ilvl w:val="0"/>
          <w:numId w:val="4"/>
        </w:numPr>
        <w:tabs>
          <w:tab w:val="left" w:pos="1365"/>
        </w:tabs>
        <w:spacing w:line="360" w:lineRule="auto"/>
        <w:rPr>
          <w:rFonts w:ascii="宋体" w:hAnsi="宋体"/>
          <w:bCs/>
          <w:color w:val="auto"/>
          <w:highlight w:val="none"/>
        </w:rPr>
      </w:pPr>
      <w:r>
        <w:rPr>
          <w:rFonts w:hint="eastAsia"/>
          <w:bCs/>
          <w:color w:val="auto"/>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auto"/>
          <w:highlight w:val="none"/>
        </w:rPr>
      </w:pPr>
      <w:r>
        <w:rPr>
          <w:rFonts w:hint="eastAsia" w:ascii="宋体" w:hAnsi="宋体"/>
          <w:bCs/>
          <w:color w:val="auto"/>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auto"/>
          <w:highlight w:val="none"/>
          <w:u w:val="singl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pStyle w:val="4"/>
        <w:numPr>
          <w:ilvl w:val="0"/>
          <w:numId w:val="0"/>
        </w:numPr>
        <w:spacing w:line="400" w:lineRule="exact"/>
        <w:rPr>
          <w:color w:val="auto"/>
          <w:highlight w:val="none"/>
        </w:rPr>
      </w:pPr>
      <w:bookmarkStart w:id="1760" w:name="_Toc342296784"/>
      <w:bookmarkStart w:id="1761" w:name="_Toc339020256"/>
      <w:bookmarkStart w:id="1762" w:name="_Toc340677093"/>
      <w:bookmarkStart w:id="1763" w:name="_Toc330460009"/>
      <w:bookmarkStart w:id="1764" w:name="_Toc339441110"/>
      <w:bookmarkStart w:id="1765" w:name="_Toc336681958"/>
      <w:bookmarkStart w:id="1766" w:name="_Toc333237701"/>
      <w:bookmarkStart w:id="1767" w:name="_Toc339019912"/>
      <w:bookmarkStart w:id="1768" w:name="_Toc333935369"/>
      <w:bookmarkStart w:id="1769" w:name="_Toc350756473"/>
      <w:bookmarkStart w:id="1770" w:name="_Toc365985201"/>
      <w:bookmarkStart w:id="1771" w:name="_Toc342060398"/>
      <w:bookmarkStart w:id="1772" w:name="_Toc341348363"/>
      <w:bookmarkStart w:id="1773" w:name="_Toc340507465"/>
      <w:bookmarkStart w:id="1774" w:name="_Toc343612943"/>
      <w:bookmarkStart w:id="1775" w:name="_Toc342312466"/>
      <w:bookmarkStart w:id="1776" w:name="_Toc333935710"/>
      <w:bookmarkStart w:id="1777" w:name="_Toc339020038"/>
      <w:bookmarkStart w:id="1778" w:name="_Toc337632381"/>
      <w:bookmarkStart w:id="1779" w:name="_Toc345312620"/>
      <w:bookmarkStart w:id="1780" w:name="_Toc366072552"/>
      <w:bookmarkStart w:id="1781" w:name="_Toc350438772"/>
      <w:bookmarkStart w:id="1782" w:name="_Toc332270370"/>
      <w:bookmarkStart w:id="1783" w:name="_Toc343248441"/>
      <w:bookmarkStart w:id="1784" w:name="_Toc365967095"/>
      <w:bookmarkStart w:id="1785" w:name="_Toc333237812"/>
      <w:bookmarkStart w:id="1786" w:name="_Toc339020118"/>
      <w:bookmarkStart w:id="1787" w:name="_Toc331512924"/>
      <w:bookmarkStart w:id="1788" w:name="_Toc333238657"/>
      <w:bookmarkStart w:id="1789" w:name="_Toc343247123"/>
      <w:bookmarkStart w:id="1790" w:name="_Toc340672892"/>
      <w:bookmarkStart w:id="1791" w:name="_Toc339362323"/>
      <w:bookmarkStart w:id="1792" w:name="_Toc331684065"/>
      <w:bookmarkStart w:id="1793" w:name="_Toc342398153"/>
      <w:bookmarkStart w:id="1794" w:name="_Toc332206732"/>
      <w:bookmarkStart w:id="1795" w:name="_Toc336681603"/>
      <w:bookmarkStart w:id="1796" w:name="_Toc20711"/>
      <w:r>
        <w:rPr>
          <w:rFonts w:hint="eastAsia"/>
          <w:color w:val="auto"/>
          <w:highlight w:val="none"/>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40672893"/>
      <w:bookmarkStart w:id="1798" w:name="_Toc343247124"/>
      <w:bookmarkStart w:id="1799" w:name="_Toc341348364"/>
      <w:bookmarkStart w:id="1800" w:name="_Toc331512925"/>
      <w:bookmarkStart w:id="1801" w:name="_Toc332270371"/>
      <w:bookmarkStart w:id="1802" w:name="_Toc342398154"/>
      <w:bookmarkStart w:id="1803" w:name="_Toc365985202"/>
      <w:bookmarkStart w:id="1804" w:name="_Toc365967096"/>
      <w:bookmarkStart w:id="1805" w:name="_Toc339020039"/>
      <w:bookmarkStart w:id="1806" w:name="_Toc342296785"/>
      <w:bookmarkStart w:id="1807" w:name="_Toc340507466"/>
      <w:bookmarkStart w:id="1808" w:name="_Toc333935711"/>
      <w:bookmarkStart w:id="1809" w:name="_Toc336681959"/>
      <w:bookmarkStart w:id="1810" w:name="_Toc339362324"/>
      <w:bookmarkStart w:id="1811" w:name="_Toc333237813"/>
      <w:bookmarkStart w:id="1812" w:name="_Toc331684066"/>
      <w:bookmarkStart w:id="1813" w:name="_Toc339019913"/>
      <w:bookmarkStart w:id="1814" w:name="_Toc345312621"/>
      <w:bookmarkStart w:id="1815" w:name="_Toc333935370"/>
      <w:bookmarkStart w:id="1816" w:name="_Toc330460010"/>
      <w:bookmarkStart w:id="1817" w:name="_Toc343248442"/>
      <w:bookmarkStart w:id="1818" w:name="_Toc350438773"/>
      <w:bookmarkStart w:id="1819" w:name="_Toc339441111"/>
      <w:bookmarkStart w:id="1820" w:name="_Toc342312467"/>
      <w:bookmarkStart w:id="1821" w:name="_Toc339020119"/>
      <w:bookmarkStart w:id="1822" w:name="_Toc366072553"/>
      <w:bookmarkStart w:id="1823" w:name="_Toc336681604"/>
      <w:bookmarkStart w:id="1824" w:name="_Toc337632382"/>
      <w:bookmarkStart w:id="1825" w:name="_Toc342060399"/>
      <w:bookmarkStart w:id="1826" w:name="_Toc333238658"/>
      <w:bookmarkStart w:id="1827" w:name="_Toc339020257"/>
      <w:bookmarkStart w:id="1828" w:name="_Toc350756474"/>
      <w:bookmarkStart w:id="1829" w:name="_Toc332206733"/>
      <w:bookmarkStart w:id="1830" w:name="_Toc333237702"/>
      <w:bookmarkStart w:id="1831" w:name="_Toc340677094"/>
      <w:bookmarkStart w:id="1832" w:name="_Toc343612944"/>
      <w:r>
        <w:rPr>
          <w:rFonts w:hint="eastAsia"/>
          <w:color w:val="auto"/>
          <w:highlight w:val="none"/>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2）对招标文件中商务条款按上列格式逐条说明。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
          <w:bCs/>
          <w:color w:val="auto"/>
          <w:highlight w:val="none"/>
        </w:rPr>
      </w:pPr>
      <w:r>
        <w:rPr>
          <w:rFonts w:hint="eastAsia" w:ascii="宋体" w:hAnsi="宋体"/>
          <w:b/>
          <w:bCs/>
          <w:color w:val="auto"/>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adjustRightInd w:val="0"/>
        <w:snapToGrid w:val="0"/>
        <w:spacing w:line="360" w:lineRule="auto"/>
        <w:rPr>
          <w:rFonts w:ascii="宋体" w:hAnsi="宋体"/>
          <w:bCs/>
          <w:color w:val="auto"/>
          <w:highlight w:val="none"/>
          <w:u w:val="single"/>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auto"/>
          <w:highlight w:val="none"/>
        </w:rPr>
      </w:pPr>
      <w:bookmarkStart w:id="1833" w:name="_Toc5750"/>
      <w:bookmarkStart w:id="1834" w:name="_Toc333238659"/>
      <w:bookmarkStart w:id="1835" w:name="_Toc336681960"/>
      <w:bookmarkStart w:id="1836" w:name="_Toc339362325"/>
      <w:bookmarkStart w:id="1837" w:name="_Toc342060400"/>
      <w:bookmarkStart w:id="1838" w:name="_Toc331684067"/>
      <w:bookmarkStart w:id="1839" w:name="_Toc340507467"/>
      <w:bookmarkStart w:id="1840" w:name="_Toc330460011"/>
      <w:bookmarkStart w:id="1841" w:name="_Toc339020040"/>
      <w:bookmarkStart w:id="1842" w:name="_Toc339019914"/>
      <w:bookmarkStart w:id="1843" w:name="_Toc336681605"/>
      <w:bookmarkStart w:id="1844" w:name="_Toc342398155"/>
      <w:bookmarkStart w:id="1845" w:name="_Toc341348365"/>
      <w:bookmarkStart w:id="1846" w:name="_Toc350438774"/>
      <w:bookmarkStart w:id="1847" w:name="_Toc366072554"/>
      <w:bookmarkStart w:id="1848" w:name="_Toc337632383"/>
      <w:bookmarkStart w:id="1849" w:name="_Toc331512926"/>
      <w:bookmarkStart w:id="1850" w:name="_Toc333935712"/>
      <w:bookmarkStart w:id="1851" w:name="_Toc342296786"/>
      <w:bookmarkStart w:id="1852" w:name="_Toc339020258"/>
      <w:bookmarkStart w:id="1853" w:name="_Toc340672894"/>
      <w:bookmarkStart w:id="1854" w:name="_Toc342312468"/>
      <w:bookmarkStart w:id="1855" w:name="_Toc345312622"/>
      <w:bookmarkStart w:id="1856" w:name="_Toc333935371"/>
      <w:bookmarkStart w:id="1857" w:name="_Toc365967097"/>
      <w:bookmarkStart w:id="1858" w:name="_Toc343247125"/>
      <w:bookmarkStart w:id="1859" w:name="_Toc350756475"/>
      <w:bookmarkStart w:id="1860" w:name="_Toc333237814"/>
      <w:bookmarkStart w:id="1861" w:name="_Toc332270372"/>
      <w:bookmarkStart w:id="1862" w:name="_Toc343248443"/>
      <w:bookmarkStart w:id="1863" w:name="_Toc339020120"/>
      <w:bookmarkStart w:id="1864" w:name="_Toc340677095"/>
      <w:bookmarkStart w:id="1865" w:name="_Toc332206734"/>
      <w:bookmarkStart w:id="1866" w:name="_Toc333237703"/>
      <w:bookmarkStart w:id="1867" w:name="_Toc343612945"/>
      <w:bookmarkStart w:id="1868" w:name="_Toc365985203"/>
      <w:bookmarkStart w:id="1869" w:name="_Toc339441112"/>
      <w:r>
        <w:rPr>
          <w:rFonts w:hint="eastAsia"/>
          <w:color w:val="auto"/>
          <w:highlight w:val="none"/>
        </w:rPr>
        <w:t>附件</w:t>
      </w:r>
      <w:r>
        <w:rPr>
          <w:rFonts w:hint="eastAsia"/>
          <w:color w:val="auto"/>
          <w:highlight w:val="none"/>
          <w:lang w:val="en-US" w:eastAsia="zh-CN"/>
        </w:rPr>
        <w:t>四</w:t>
      </w:r>
      <w:r>
        <w:rPr>
          <w:rFonts w:hint="eastAsia"/>
          <w:color w:val="auto"/>
          <w:highlight w:val="none"/>
        </w:rPr>
        <w:t>：技术条款偏离一览表</w:t>
      </w:r>
      <w:bookmarkEnd w:id="1833"/>
    </w:p>
    <w:p>
      <w:pPr>
        <w:adjustRightInd w:val="0"/>
        <w:snapToGrid w:val="0"/>
        <w:spacing w:line="360" w:lineRule="auto"/>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2）对招标文件中技术条款按上列格式逐条说明。</w:t>
      </w:r>
    </w:p>
    <w:p>
      <w:pPr>
        <w:adjustRightInd w:val="0"/>
        <w:snapToGrid w:val="0"/>
        <w:spacing w:line="360" w:lineRule="auto"/>
        <w:ind w:firstLine="630" w:firstLineChars="300"/>
        <w:rPr>
          <w:rFonts w:ascii="宋体" w:hAnsi="宋体"/>
          <w:bCs/>
          <w:color w:val="auto"/>
          <w:highlight w:val="none"/>
        </w:rPr>
      </w:pPr>
    </w:p>
    <w:p>
      <w:pPr>
        <w:adjustRightInd w:val="0"/>
        <w:snapToGrid w:val="0"/>
        <w:spacing w:line="360" w:lineRule="auto"/>
        <w:rPr>
          <w:rFonts w:ascii="宋体" w:hAnsi="宋体"/>
          <w:b/>
          <w:bCs/>
          <w:color w:val="auto"/>
          <w:highlight w:val="none"/>
        </w:rPr>
      </w:pPr>
    </w:p>
    <w:p>
      <w:pPr>
        <w:adjustRightInd w:val="0"/>
        <w:snapToGrid w:val="0"/>
        <w:spacing w:line="360" w:lineRule="auto"/>
        <w:rPr>
          <w:rFonts w:ascii="宋体" w:hAnsi="宋体"/>
          <w:b/>
          <w:bCs/>
          <w:color w:val="auto"/>
          <w:highlight w:val="none"/>
        </w:rPr>
      </w:pPr>
      <w:r>
        <w:rPr>
          <w:rFonts w:hint="eastAsia" w:ascii="宋体" w:hAnsi="宋体"/>
          <w:b/>
          <w:bCs/>
          <w:color w:val="auto"/>
          <w:highlight w:val="none"/>
        </w:rPr>
        <w:t>投标人声明：表中未列全的技术条款，我方均表示完全响应招标文件技术条款的所有要求。</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4"/>
        <w:numPr>
          <w:ilvl w:val="1"/>
          <w:numId w:val="0"/>
        </w:numPr>
        <w:spacing w:line="400" w:lineRule="exact"/>
        <w:rPr>
          <w:color w:val="auto"/>
          <w:highlight w:val="none"/>
        </w:rPr>
        <w:sectPr>
          <w:pgSz w:w="11906" w:h="16838"/>
          <w:pgMar w:top="1474" w:right="1418" w:bottom="1474" w:left="1418" w:header="851" w:footer="850" w:gutter="0"/>
          <w:cols w:space="0" w:num="1"/>
          <w:titlePg/>
          <w:docGrid w:linePitch="312" w:charSpace="0"/>
        </w:sectPr>
      </w:pPr>
      <w:bookmarkStart w:id="1870" w:name="_Toc342312472"/>
      <w:bookmarkStart w:id="1871" w:name="_Toc339441116"/>
      <w:bookmarkStart w:id="1872" w:name="_Toc339020262"/>
      <w:bookmarkStart w:id="1873" w:name="_Toc339020124"/>
      <w:bookmarkStart w:id="1874" w:name="_Toc343612949"/>
      <w:bookmarkStart w:id="1875" w:name="_Toc365985210"/>
      <w:bookmarkStart w:id="1876" w:name="_Toc342296790"/>
      <w:bookmarkStart w:id="1877" w:name="_Toc333935375"/>
      <w:bookmarkStart w:id="1878" w:name="_Toc343247129"/>
      <w:bookmarkStart w:id="1879" w:name="_Toc333237707"/>
      <w:bookmarkStart w:id="1880" w:name="_Toc342398159"/>
      <w:bookmarkStart w:id="1881" w:name="_Toc333238663"/>
      <w:bookmarkStart w:id="1882" w:name="_Toc333935716"/>
      <w:bookmarkStart w:id="1883" w:name="_Toc339019918"/>
      <w:bookmarkStart w:id="1884" w:name="_Toc350756479"/>
      <w:bookmarkStart w:id="1885" w:name="_Toc333237818"/>
      <w:bookmarkStart w:id="1886" w:name="_Toc339362329"/>
      <w:bookmarkStart w:id="1887" w:name="_Toc330460015"/>
      <w:bookmarkStart w:id="1888" w:name="_Toc340677099"/>
      <w:bookmarkStart w:id="1889" w:name="_Toc331512930"/>
      <w:bookmarkStart w:id="1890" w:name="_Toc331684071"/>
      <w:bookmarkStart w:id="1891" w:name="_Toc332270376"/>
      <w:bookmarkStart w:id="1892" w:name="_Toc340672898"/>
      <w:bookmarkStart w:id="1893" w:name="_Toc365967104"/>
      <w:bookmarkStart w:id="1894" w:name="_Toc366072561"/>
      <w:bookmarkStart w:id="1895" w:name="_Toc336681964"/>
      <w:bookmarkStart w:id="1896" w:name="_Toc337632387"/>
      <w:bookmarkStart w:id="1897" w:name="_Toc339020044"/>
      <w:bookmarkStart w:id="1898" w:name="_Toc342060404"/>
      <w:bookmarkStart w:id="1899" w:name="_Toc350438778"/>
      <w:bookmarkStart w:id="1900" w:name="_Toc341348369"/>
      <w:bookmarkStart w:id="1901" w:name="_Toc340507471"/>
      <w:bookmarkStart w:id="1902" w:name="_Toc336681609"/>
      <w:bookmarkStart w:id="1903" w:name="_Toc332206738"/>
      <w:bookmarkStart w:id="1904" w:name="_Toc345312626"/>
      <w:bookmarkStart w:id="1905" w:name="_Toc432695228"/>
      <w:bookmarkStart w:id="1906" w:name="_Toc343248447"/>
    </w:p>
    <w:p>
      <w:pPr>
        <w:pStyle w:val="4"/>
        <w:numPr>
          <w:ilvl w:val="1"/>
          <w:numId w:val="0"/>
        </w:numPr>
        <w:spacing w:line="400" w:lineRule="exact"/>
        <w:rPr>
          <w:color w:val="auto"/>
          <w:highlight w:val="none"/>
        </w:rPr>
      </w:pPr>
      <w:bookmarkStart w:id="1907" w:name="_Toc3844"/>
      <w:r>
        <w:rPr>
          <w:rFonts w:hint="eastAsia"/>
          <w:color w:val="auto"/>
          <w:highlight w:val="none"/>
        </w:rPr>
        <w:t>附件</w:t>
      </w:r>
      <w:r>
        <w:rPr>
          <w:rFonts w:hint="eastAsia"/>
          <w:color w:val="auto"/>
          <w:highlight w:val="none"/>
          <w:lang w:val="en-US" w:eastAsia="zh-CN"/>
        </w:rPr>
        <w:t>五</w:t>
      </w:r>
      <w:r>
        <w:rPr>
          <w:rFonts w:hint="eastAsia"/>
          <w:color w:val="auto"/>
          <w:highlight w:val="none"/>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auto"/>
          <w:szCs w:val="21"/>
          <w:highlight w:val="none"/>
          <w:u w:val="single"/>
        </w:rPr>
      </w:pPr>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序号</w:t>
            </w:r>
          </w:p>
        </w:tc>
        <w:tc>
          <w:tcPr>
            <w:tcW w:w="1215"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项目名称</w:t>
            </w:r>
          </w:p>
        </w:tc>
        <w:tc>
          <w:tcPr>
            <w:tcW w:w="126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内容</w:t>
            </w:r>
          </w:p>
        </w:tc>
        <w:tc>
          <w:tcPr>
            <w:tcW w:w="11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数量</w:t>
            </w:r>
          </w:p>
        </w:tc>
        <w:tc>
          <w:tcPr>
            <w:tcW w:w="140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中标金额（元）</w:t>
            </w:r>
          </w:p>
        </w:tc>
        <w:tc>
          <w:tcPr>
            <w:tcW w:w="123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完成日期</w:t>
            </w:r>
          </w:p>
        </w:tc>
        <w:tc>
          <w:tcPr>
            <w:tcW w:w="118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用户单位</w:t>
            </w:r>
          </w:p>
        </w:tc>
        <w:tc>
          <w:tcPr>
            <w:tcW w:w="122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联系电话</w:t>
            </w:r>
          </w:p>
        </w:tc>
        <w:tc>
          <w:tcPr>
            <w:tcW w:w="8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auto"/>
                <w:kern w:val="2"/>
                <w:sz w:val="21"/>
                <w:szCs w:val="24"/>
                <w:highlight w:val="none"/>
              </w:rPr>
            </w:pPr>
          </w:p>
        </w:tc>
        <w:tc>
          <w:tcPr>
            <w:tcW w:w="1215" w:type="dxa"/>
            <w:vAlign w:val="center"/>
          </w:tcPr>
          <w:p>
            <w:pPr>
              <w:pStyle w:val="5"/>
              <w:snapToGrid w:val="0"/>
              <w:ind w:firstLine="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ind w:firstLine="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bl>
    <w:p>
      <w:pPr>
        <w:pStyle w:val="5"/>
        <w:snapToGrid w:val="0"/>
        <w:spacing w:line="360" w:lineRule="auto"/>
        <w:ind w:firstLine="0"/>
        <w:rPr>
          <w:rFonts w:hAnsi="宋体"/>
          <w:bCs/>
          <w:color w:val="auto"/>
          <w:sz w:val="21"/>
          <w:highlight w:val="none"/>
        </w:rPr>
      </w:pPr>
      <w:r>
        <w:rPr>
          <w:rFonts w:hint="eastAsia" w:hAnsi="宋体"/>
          <w:bCs/>
          <w:color w:val="auto"/>
          <w:sz w:val="21"/>
          <w:highlight w:val="none"/>
        </w:rPr>
        <w:t>注：如本表格式内容不能满足需要，投标人可自行划表填写，但必须体现以上内容。</w:t>
      </w:r>
    </w:p>
    <w:p>
      <w:pPr>
        <w:pStyle w:val="5"/>
        <w:snapToGrid w:val="0"/>
        <w:spacing w:line="360" w:lineRule="auto"/>
        <w:rPr>
          <w:rFonts w:hAnsi="宋体"/>
          <w:bCs/>
          <w:color w:val="auto"/>
          <w:sz w:val="21"/>
          <w:highlight w:val="none"/>
        </w:rPr>
      </w:pPr>
    </w:p>
    <w:p>
      <w:pPr>
        <w:pStyle w:val="5"/>
        <w:snapToGrid w:val="0"/>
        <w:spacing w:line="360" w:lineRule="auto"/>
        <w:rPr>
          <w:rFonts w:hAnsi="宋体"/>
          <w:bCs/>
          <w:color w:val="auto"/>
          <w:sz w:val="21"/>
          <w:highlight w:val="none"/>
        </w:rPr>
      </w:pPr>
    </w:p>
    <w:p>
      <w:pPr>
        <w:pStyle w:val="5"/>
        <w:snapToGrid w:val="0"/>
        <w:spacing w:line="360" w:lineRule="auto"/>
        <w:rPr>
          <w:rFonts w:hAnsi="宋体"/>
          <w:bCs/>
          <w:color w:val="auto"/>
          <w:sz w:val="21"/>
          <w:highlight w:val="none"/>
        </w:rPr>
      </w:pPr>
    </w:p>
    <w:p>
      <w:pPr>
        <w:pStyle w:val="5"/>
        <w:snapToGrid w:val="0"/>
        <w:spacing w:line="360" w:lineRule="auto"/>
        <w:rPr>
          <w:rFonts w:hAnsi="宋体"/>
          <w:bCs/>
          <w:color w:val="auto"/>
          <w:sz w:val="21"/>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4"/>
        <w:numPr>
          <w:ilvl w:val="1"/>
          <w:numId w:val="0"/>
        </w:numPr>
        <w:jc w:val="both"/>
        <w:rPr>
          <w:color w:val="auto"/>
          <w:highlight w:val="none"/>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auto"/>
          <w:highlight w:val="none"/>
        </w:rPr>
      </w:pPr>
      <w:bookmarkStart w:id="1908" w:name="_Toc432682754"/>
      <w:bookmarkStart w:id="1909" w:name="_Toc430771089"/>
      <w:bookmarkStart w:id="1910" w:name="_Toc432695229"/>
      <w:bookmarkStart w:id="1911" w:name="_Toc30807"/>
      <w:bookmarkStart w:id="1912" w:name="_Toc343248448"/>
      <w:bookmarkStart w:id="1913" w:name="_Toc332270377"/>
      <w:bookmarkStart w:id="1914" w:name="_Toc336681610"/>
      <w:bookmarkStart w:id="1915" w:name="_Toc340672899"/>
      <w:bookmarkStart w:id="1916" w:name="_Toc102451601"/>
      <w:bookmarkStart w:id="1917" w:name="_Toc340677100"/>
      <w:bookmarkStart w:id="1918" w:name="_Toc341348370"/>
      <w:bookmarkStart w:id="1919" w:name="_Toc340507472"/>
      <w:bookmarkStart w:id="1920" w:name="_Toc331512931"/>
      <w:bookmarkStart w:id="1921" w:name="_Toc333237708"/>
      <w:bookmarkStart w:id="1922" w:name="_Toc342398160"/>
      <w:bookmarkStart w:id="1923" w:name="_Toc339020045"/>
      <w:bookmarkStart w:id="1924" w:name="_Toc345312627"/>
      <w:bookmarkStart w:id="1925" w:name="_Toc331684072"/>
      <w:bookmarkStart w:id="1926" w:name="_Toc339020125"/>
      <w:bookmarkStart w:id="1927" w:name="_Toc330460016"/>
      <w:bookmarkStart w:id="1928" w:name="_Toc337632388"/>
      <w:bookmarkStart w:id="1929" w:name="_Toc343612950"/>
      <w:bookmarkStart w:id="1930" w:name="_Toc333935717"/>
      <w:bookmarkStart w:id="1931" w:name="_Toc350756480"/>
      <w:bookmarkStart w:id="1932" w:name="_Toc333238664"/>
      <w:bookmarkStart w:id="1933" w:name="_Toc332206739"/>
      <w:bookmarkStart w:id="1934" w:name="_Toc365967105"/>
      <w:bookmarkStart w:id="1935" w:name="_Toc339019919"/>
      <w:bookmarkStart w:id="1936" w:name="_Toc339020263"/>
      <w:bookmarkStart w:id="1937" w:name="_Toc366072562"/>
      <w:bookmarkStart w:id="1938" w:name="_Toc350438779"/>
      <w:bookmarkStart w:id="1939" w:name="_Toc333935376"/>
      <w:bookmarkStart w:id="1940" w:name="_Toc336681965"/>
      <w:bookmarkStart w:id="1941" w:name="_Toc333237819"/>
      <w:bookmarkStart w:id="1942" w:name="_Toc342312473"/>
      <w:bookmarkStart w:id="1943" w:name="_Toc342296791"/>
      <w:bookmarkStart w:id="1944" w:name="_Toc339441117"/>
      <w:bookmarkStart w:id="1945" w:name="_Toc339362330"/>
      <w:bookmarkStart w:id="1946" w:name="_Toc343247130"/>
      <w:bookmarkStart w:id="1947" w:name="_Toc365985211"/>
      <w:bookmarkStart w:id="1948" w:name="_Toc342060405"/>
      <w:r>
        <w:rPr>
          <w:rFonts w:hint="eastAsia"/>
          <w:color w:val="auto"/>
          <w:highlight w:val="none"/>
        </w:rPr>
        <w:t>附件</w:t>
      </w:r>
      <w:r>
        <w:rPr>
          <w:rFonts w:hint="eastAsia"/>
          <w:color w:val="auto"/>
          <w:highlight w:val="none"/>
          <w:lang w:val="en-US" w:eastAsia="zh-CN"/>
        </w:rPr>
        <w:t>六</w:t>
      </w:r>
      <w:r>
        <w:rPr>
          <w:rFonts w:hint="eastAsia"/>
          <w:color w:val="auto"/>
          <w:highlight w:val="none"/>
        </w:rPr>
        <w:t>：</w:t>
      </w:r>
      <w:r>
        <w:rPr>
          <w:rFonts w:hint="eastAsia" w:hAnsi="黑体" w:cs="黑体"/>
          <w:color w:val="auto"/>
          <w:highlight w:val="none"/>
        </w:rPr>
        <w:t>中小微企业声明函</w:t>
      </w:r>
      <w:bookmarkEnd w:id="1908"/>
      <w:bookmarkEnd w:id="1909"/>
      <w:bookmarkEnd w:id="1910"/>
      <w:bookmarkEnd w:id="1911"/>
    </w:p>
    <w:p>
      <w:pPr>
        <w:spacing w:line="440" w:lineRule="exact"/>
        <w:ind w:firstLine="420"/>
        <w:rPr>
          <w:rFonts w:ascii="宋体"/>
          <w:color w:val="auto"/>
          <w:highlight w:val="none"/>
        </w:rPr>
      </w:pPr>
      <w:r>
        <w:rPr>
          <w:rFonts w:hint="eastAsia" w:ascii="宋体" w:hAnsi="宋体" w:cs="宋体"/>
          <w:color w:val="auto"/>
          <w:highlight w:val="none"/>
        </w:rPr>
        <w:t>本公司郑重声明，根据</w:t>
      </w:r>
      <w:r>
        <w:rPr>
          <w:rFonts w:ascii="宋体" w:hAnsi="宋体"/>
          <w:color w:val="auto"/>
          <w:szCs w:val="21"/>
          <w:highlight w:val="none"/>
        </w:rPr>
        <w:t>《政府采购促进中小企业发展管理办法》（财库﹝2020﹞46 号）</w:t>
      </w:r>
      <w:r>
        <w:rPr>
          <w:rFonts w:hint="eastAsia" w:ascii="宋体" w:hAnsi="宋体" w:cs="宋体"/>
          <w:color w:val="auto"/>
          <w:highlight w:val="none"/>
        </w:rPr>
        <w:t>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s="宋体"/>
          <w:color w:val="auto"/>
          <w:highlight w:val="none"/>
        </w:rPr>
        <w:t>（项目编号：）采购活动提供本企业制造的货物，由本企业承担工程、提供服务，或者提供其他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highlight w:val="none"/>
        </w:rPr>
      </w:pP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spacing w:line="440" w:lineRule="exact"/>
        <w:rPr>
          <w:rFonts w:ascii="宋体"/>
          <w:color w:val="auto"/>
          <w:highlight w:val="none"/>
        </w:rPr>
      </w:pPr>
      <w:r>
        <w:rPr>
          <w:rFonts w:ascii="宋体" w:hAnsi="宋体"/>
          <w:color w:val="auto"/>
          <w:szCs w:val="21"/>
          <w:highlight w:val="none"/>
        </w:rPr>
        <w:t>日期：</w:t>
      </w:r>
      <w:r>
        <w:rPr>
          <w:rFonts w:ascii="宋体" w:hAnsi="宋体"/>
          <w:color w:val="auto"/>
          <w:szCs w:val="21"/>
          <w:highlight w:val="none"/>
          <w:u w:val="single"/>
        </w:rPr>
        <w:t xml:space="preserve">       </w:t>
      </w:r>
      <w:r>
        <w:rPr>
          <w:rFonts w:ascii="宋体" w:hAnsi="宋体"/>
          <w:color w:val="auto"/>
          <w:szCs w:val="21"/>
          <w:highlight w:val="none"/>
        </w:rPr>
        <w:t>年</w:t>
      </w:r>
      <w:r>
        <w:rPr>
          <w:rFonts w:ascii="宋体" w:hAnsi="宋体"/>
          <w:color w:val="auto"/>
          <w:szCs w:val="21"/>
          <w:highlight w:val="none"/>
          <w:u w:val="single"/>
        </w:rPr>
        <w:t xml:space="preserve">     </w:t>
      </w:r>
      <w:r>
        <w:rPr>
          <w:rFonts w:ascii="宋体" w:hAnsi="宋体"/>
          <w:color w:val="auto"/>
          <w:szCs w:val="21"/>
          <w:highlight w:val="none"/>
        </w:rPr>
        <w:t>月</w:t>
      </w:r>
      <w:r>
        <w:rPr>
          <w:rFonts w:ascii="宋体" w:hAnsi="宋体"/>
          <w:color w:val="auto"/>
          <w:szCs w:val="21"/>
          <w:highlight w:val="none"/>
          <w:u w:val="single"/>
        </w:rPr>
        <w:t xml:space="preserve">      </w:t>
      </w:r>
      <w:r>
        <w:rPr>
          <w:rFonts w:ascii="宋体" w:hAnsi="宋体"/>
          <w:color w:val="auto"/>
          <w:szCs w:val="21"/>
          <w:highlight w:val="none"/>
        </w:rPr>
        <w:t>日</w:t>
      </w:r>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4"/>
        <w:keepLines w:val="0"/>
        <w:numPr>
          <w:ilvl w:val="0"/>
          <w:numId w:val="0"/>
        </w:numPr>
        <w:tabs>
          <w:tab w:val="left" w:pos="851"/>
        </w:tabs>
        <w:spacing w:before="0" w:after="0" w:line="360" w:lineRule="auto"/>
        <w:rPr>
          <w:rFonts w:ascii="宋体" w:eastAsia="宋体"/>
          <w:color w:val="auto"/>
          <w:szCs w:val="21"/>
          <w:highlight w:val="none"/>
        </w:rPr>
      </w:pPr>
      <w:bookmarkStart w:id="1949" w:name="_Toc32373"/>
      <w:bookmarkStart w:id="1950" w:name="_Toc30553"/>
      <w:bookmarkStart w:id="1951" w:name="_Toc434832511"/>
      <w:r>
        <w:rPr>
          <w:rFonts w:hint="eastAsia"/>
          <w:color w:val="auto"/>
          <w:highlight w:val="none"/>
        </w:rPr>
        <w:t>附件</w:t>
      </w:r>
      <w:r>
        <w:rPr>
          <w:rFonts w:hint="eastAsia"/>
          <w:color w:val="auto"/>
          <w:highlight w:val="none"/>
          <w:lang w:val="en-US" w:eastAsia="zh-CN"/>
        </w:rPr>
        <w:t>七</w:t>
      </w:r>
      <w:r>
        <w:rPr>
          <w:rFonts w:hint="eastAsia"/>
          <w:color w:val="auto"/>
          <w:highlight w:val="none"/>
        </w:rPr>
        <w:t>：</w:t>
      </w:r>
      <w:r>
        <w:rPr>
          <w:rFonts w:hint="eastAsia" w:hAnsi="黑体" w:cs="黑体"/>
          <w:color w:val="auto"/>
          <w:highlight w:val="none"/>
        </w:rPr>
        <w:t>残疾人福利性单位声明函</w:t>
      </w:r>
      <w:bookmarkEnd w:id="1949"/>
      <w:bookmarkEnd w:id="1950"/>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投标人法定代表人（负责人）或授权代理人（签字）：</w:t>
      </w:r>
      <w:r>
        <w:rPr>
          <w:rFonts w:hint="eastAsia" w:ascii="宋体" w:hAnsi="宋体"/>
          <w:bCs/>
          <w:color w:val="auto"/>
          <w:szCs w:val="21"/>
          <w:highlight w:val="none"/>
          <w:u w:val="single"/>
        </w:rPr>
        <w:t xml:space="preserve">                            </w:t>
      </w: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投标人名称（公章）：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pStyle w:val="5"/>
        <w:spacing w:line="360" w:lineRule="auto"/>
        <w:ind w:firstLine="0"/>
        <w:rPr>
          <w:rFonts w:hAnsi="宋体" w:cs="宋体"/>
          <w:color w:val="auto"/>
          <w:kern w:val="2"/>
          <w:sz w:val="21"/>
          <w:szCs w:val="24"/>
          <w:highlight w:val="none"/>
        </w:rPr>
      </w:pPr>
      <w:r>
        <w:rPr>
          <w:rFonts w:hAnsi="宋体"/>
          <w:color w:val="auto"/>
          <w:sz w:val="21"/>
          <w:szCs w:val="21"/>
          <w:highlight w:val="none"/>
        </w:rPr>
        <w:t>日期：</w:t>
      </w:r>
      <w:r>
        <w:rPr>
          <w:rFonts w:hAnsi="宋体"/>
          <w:color w:val="auto"/>
          <w:sz w:val="21"/>
          <w:szCs w:val="21"/>
          <w:highlight w:val="none"/>
          <w:u w:val="single"/>
        </w:rPr>
        <w:t xml:space="preserve">       </w:t>
      </w:r>
      <w:r>
        <w:rPr>
          <w:rFonts w:hAnsi="宋体"/>
          <w:color w:val="auto"/>
          <w:sz w:val="21"/>
          <w:szCs w:val="21"/>
          <w:highlight w:val="none"/>
        </w:rPr>
        <w:t>年</w:t>
      </w:r>
      <w:r>
        <w:rPr>
          <w:rFonts w:hAnsi="宋体"/>
          <w:color w:val="auto"/>
          <w:sz w:val="21"/>
          <w:szCs w:val="21"/>
          <w:highlight w:val="none"/>
          <w:u w:val="single"/>
        </w:rPr>
        <w:t xml:space="preserve">     </w:t>
      </w:r>
      <w:r>
        <w:rPr>
          <w:rFonts w:hAnsi="宋体"/>
          <w:color w:val="auto"/>
          <w:sz w:val="21"/>
          <w:szCs w:val="21"/>
          <w:highlight w:val="none"/>
        </w:rPr>
        <w:t>月</w:t>
      </w:r>
      <w:r>
        <w:rPr>
          <w:rFonts w:hAnsi="宋体"/>
          <w:color w:val="auto"/>
          <w:sz w:val="21"/>
          <w:szCs w:val="21"/>
          <w:highlight w:val="none"/>
          <w:u w:val="single"/>
        </w:rPr>
        <w:t xml:space="preserve">      </w:t>
      </w:r>
      <w:r>
        <w:rPr>
          <w:rFonts w:hAnsi="宋体"/>
          <w:color w:val="auto"/>
          <w:sz w:val="21"/>
          <w:szCs w:val="21"/>
          <w:highlight w:val="none"/>
        </w:rPr>
        <w:t>日</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4"/>
        <w:numPr>
          <w:ilvl w:val="1"/>
          <w:numId w:val="0"/>
        </w:numPr>
        <w:spacing w:line="400" w:lineRule="exact"/>
        <w:rPr>
          <w:color w:val="auto"/>
          <w:highlight w:val="none"/>
        </w:rPr>
      </w:pPr>
      <w:bookmarkStart w:id="1952" w:name="_Toc432695230"/>
      <w:bookmarkStart w:id="1953" w:name="_Toc9858"/>
      <w:bookmarkStart w:id="1954" w:name="_Toc28049"/>
      <w:r>
        <w:rPr>
          <w:rFonts w:hint="eastAsia"/>
          <w:color w:val="auto"/>
          <w:highlight w:val="none"/>
        </w:rPr>
        <w:t>附件</w:t>
      </w:r>
      <w:r>
        <w:rPr>
          <w:rFonts w:hint="eastAsia"/>
          <w:color w:val="auto"/>
          <w:highlight w:val="none"/>
          <w:lang w:val="en-US" w:eastAsia="zh-CN"/>
        </w:rPr>
        <w:t>八</w:t>
      </w:r>
      <w:r>
        <w:rPr>
          <w:rFonts w:hint="eastAsia"/>
          <w:color w:val="auto"/>
          <w:highlight w:val="none"/>
        </w:rPr>
        <w:t>：中标服务费承诺</w:t>
      </w:r>
      <w:bookmarkEnd w:id="1952"/>
      <w:bookmarkEnd w:id="1953"/>
      <w:bookmarkEnd w:id="1954"/>
    </w:p>
    <w:p>
      <w:pPr>
        <w:spacing w:line="360" w:lineRule="auto"/>
        <w:rPr>
          <w:rFonts w:ascii="宋体" w:hAnsi="宋体"/>
          <w:color w:val="auto"/>
          <w:highlight w:val="none"/>
        </w:rPr>
      </w:pPr>
      <w:r>
        <w:rPr>
          <w:rFonts w:hint="eastAsia" w:ascii="宋体" w:hAnsi="宋体"/>
          <w:color w:val="auto"/>
          <w:highlight w:val="none"/>
        </w:rPr>
        <w:t>致</w:t>
      </w:r>
      <w:r>
        <w:rPr>
          <w:rFonts w:hint="eastAsia" w:ascii="宋体" w:hAnsi="宋体"/>
          <w:color w:val="auto"/>
          <w:highlight w:val="none"/>
          <w:u w:val="single"/>
          <w:lang w:eastAsia="zh-CN"/>
        </w:rPr>
        <w:t>广东业信招标有限公司</w:t>
      </w:r>
      <w:r>
        <w:rPr>
          <w:rFonts w:hint="eastAsia" w:ascii="宋体" w:hAnsi="宋体"/>
          <w:color w:val="auto"/>
          <w:highlight w:val="none"/>
        </w:rPr>
        <w:t>：</w:t>
      </w:r>
    </w:p>
    <w:p>
      <w:pPr>
        <w:spacing w:line="360" w:lineRule="auto"/>
        <w:rPr>
          <w:rFonts w:ascii="宋体" w:hAnsi="宋体"/>
          <w:color w:val="auto"/>
          <w:highlight w:val="none"/>
        </w:rPr>
      </w:pPr>
    </w:p>
    <w:p>
      <w:pPr>
        <w:spacing w:line="440" w:lineRule="exact"/>
        <w:ind w:firstLine="420" w:firstLineChars="200"/>
        <w:rPr>
          <w:rFonts w:ascii="宋体" w:hAnsi="宋体"/>
          <w:color w:val="auto"/>
          <w:highlight w:val="none"/>
        </w:rPr>
      </w:pPr>
      <w:r>
        <w:rPr>
          <w:rFonts w:hint="eastAsia" w:ascii="宋体" w:hAnsi="宋体"/>
          <w:color w:val="auto"/>
          <w:highlight w:val="none"/>
        </w:rPr>
        <w:t>针对贵方组织的（项目名称：</w:t>
      </w:r>
      <w:r>
        <w:rPr>
          <w:rFonts w:hint="eastAsia" w:ascii="宋体" w:hAnsi="宋体"/>
          <w:color w:val="auto"/>
          <w:highlight w:val="none"/>
          <w:u w:val="single"/>
        </w:rPr>
        <w:t xml:space="preserve">                   </w:t>
      </w:r>
      <w:r>
        <w:rPr>
          <w:rFonts w:hint="eastAsia" w:ascii="宋体" w:hAnsi="宋体"/>
          <w:color w:val="auto"/>
          <w:highlight w:val="none"/>
        </w:rPr>
        <w:t xml:space="preserve">）招标（项目编号: </w:t>
      </w:r>
      <w:r>
        <w:rPr>
          <w:rFonts w:hint="eastAsia" w:ascii="宋体" w:hAnsi="宋体"/>
          <w:color w:val="auto"/>
          <w:highlight w:val="none"/>
          <w:u w:val="single"/>
        </w:rPr>
        <w:t xml:space="preserve">          </w:t>
      </w:r>
      <w:r>
        <w:rPr>
          <w:rFonts w:hint="eastAsia" w:ascii="宋体" w:hAnsi="宋体"/>
          <w:color w:val="auto"/>
          <w:highlight w:val="none"/>
        </w:rPr>
        <w:t>），我方承诺：</w:t>
      </w:r>
    </w:p>
    <w:p>
      <w:pPr>
        <w:spacing w:line="440" w:lineRule="exact"/>
        <w:ind w:firstLine="420" w:firstLineChars="200"/>
        <w:rPr>
          <w:rFonts w:ascii="宋体" w:hAnsi="宋体"/>
          <w:color w:val="auto"/>
          <w:highlight w:val="none"/>
        </w:rPr>
      </w:pPr>
      <w:r>
        <w:rPr>
          <w:rFonts w:hint="eastAsia" w:ascii="宋体" w:hAnsi="宋体"/>
          <w:color w:val="auto"/>
          <w:highlight w:val="none"/>
        </w:rPr>
        <w:t>1. 若我方中标，将严格遵照本项目招标文件的规定向代理采购机构缴纳中标服务费。</w:t>
      </w:r>
    </w:p>
    <w:p>
      <w:pPr>
        <w:spacing w:line="440" w:lineRule="exact"/>
        <w:ind w:firstLine="420" w:firstLineChars="200"/>
        <w:rPr>
          <w:rFonts w:ascii="宋体" w:hAnsi="宋体"/>
          <w:color w:val="auto"/>
          <w:highlight w:val="none"/>
        </w:rPr>
      </w:pPr>
      <w:r>
        <w:rPr>
          <w:rFonts w:hint="eastAsia" w:ascii="宋体" w:hAnsi="宋体"/>
          <w:color w:val="auto"/>
          <w:highlight w:val="none"/>
        </w:rPr>
        <w:t>2. 若我方中标后拒绝如数缴纳或未按本项目招标文件规定的期限缴纳中标服务费，则视为我方自动放弃该中标结果，贵</w:t>
      </w:r>
      <w:r>
        <w:rPr>
          <w:rFonts w:hint="eastAsia" w:ascii="宋体" w:hAnsi="宋体"/>
          <w:color w:val="auto"/>
          <w:szCs w:val="21"/>
          <w:highlight w:val="none"/>
        </w:rPr>
        <w:t>方</w:t>
      </w:r>
      <w:r>
        <w:rPr>
          <w:rFonts w:hint="eastAsia" w:ascii="宋体" w:hAnsi="宋体"/>
          <w:color w:val="auto"/>
          <w:highlight w:val="none"/>
        </w:rPr>
        <w:t>有权不予退还我方的投标保证金并重新确定中标结果，</w:t>
      </w:r>
      <w:r>
        <w:rPr>
          <w:rFonts w:hint="eastAsia" w:ascii="宋体"/>
          <w:color w:val="auto"/>
          <w:highlight w:val="none"/>
        </w:rPr>
        <w:t>我方对此无任何异议。</w:t>
      </w:r>
    </w:p>
    <w:p>
      <w:pPr>
        <w:spacing w:line="440" w:lineRule="exact"/>
        <w:rPr>
          <w:rFonts w:ascii="宋体" w:hAnsi="宋体"/>
          <w:color w:val="auto"/>
          <w:highlight w:val="none"/>
        </w:rPr>
      </w:pPr>
      <w:r>
        <w:rPr>
          <w:rFonts w:hint="eastAsia" w:ascii="宋体" w:hAnsi="宋体"/>
          <w:color w:val="auto"/>
          <w:highlight w:val="none"/>
        </w:rPr>
        <w:t xml:space="preserve">     </w:t>
      </w:r>
    </w:p>
    <w:p>
      <w:pPr>
        <w:spacing w:line="440" w:lineRule="exact"/>
        <w:ind w:firstLine="420" w:firstLineChars="200"/>
        <w:rPr>
          <w:rFonts w:ascii="宋体" w:hAns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rPr>
          <w:color w:val="auto"/>
          <w:highlight w:val="none"/>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auto"/>
          <w:highlight w:val="none"/>
        </w:rPr>
      </w:pPr>
      <w:bookmarkStart w:id="1955" w:name="_Toc326065622"/>
      <w:bookmarkStart w:id="1956" w:name="_Toc339441118"/>
      <w:bookmarkStart w:id="1957" w:name="_Toc332270378"/>
      <w:bookmarkStart w:id="1958" w:name="_Toc350756481"/>
      <w:bookmarkStart w:id="1959" w:name="_Toc339020046"/>
      <w:bookmarkStart w:id="1960" w:name="_Toc342296792"/>
      <w:bookmarkStart w:id="1961" w:name="_Toc333237709"/>
      <w:bookmarkStart w:id="1962" w:name="_Toc342060406"/>
      <w:bookmarkStart w:id="1963" w:name="_Toc339019920"/>
      <w:bookmarkStart w:id="1964" w:name="_Toc365985212"/>
      <w:bookmarkStart w:id="1965" w:name="_Toc340672900"/>
      <w:bookmarkStart w:id="1966" w:name="_Toc343248449"/>
      <w:bookmarkStart w:id="1967" w:name="_Toc350438780"/>
      <w:bookmarkStart w:id="1968" w:name="_Toc330460017"/>
      <w:bookmarkStart w:id="1969" w:name="_Toc10463"/>
      <w:bookmarkStart w:id="1970" w:name="_Toc333238665"/>
      <w:bookmarkStart w:id="1971" w:name="_Toc342398161"/>
      <w:bookmarkStart w:id="1972" w:name="_Toc339020126"/>
      <w:bookmarkStart w:id="1973" w:name="_Toc336681611"/>
      <w:bookmarkStart w:id="1974" w:name="_Toc331684073"/>
      <w:bookmarkStart w:id="1975" w:name="_Toc343247131"/>
      <w:bookmarkStart w:id="1976" w:name="_Toc343612951"/>
      <w:bookmarkStart w:id="1977" w:name="_Toc333237820"/>
      <w:bookmarkStart w:id="1978" w:name="_Toc337632389"/>
      <w:bookmarkStart w:id="1979" w:name="_Toc365967106"/>
      <w:bookmarkStart w:id="1980" w:name="_Toc340677101"/>
      <w:bookmarkStart w:id="1981" w:name="_Toc336681966"/>
      <w:bookmarkStart w:id="1982" w:name="_Toc331512932"/>
      <w:bookmarkStart w:id="1983" w:name="_Toc432695231"/>
      <w:bookmarkStart w:id="1984" w:name="_Toc339362331"/>
      <w:bookmarkStart w:id="1985" w:name="_Toc340507473"/>
      <w:bookmarkStart w:id="1986" w:name="_Toc333935718"/>
      <w:bookmarkStart w:id="1987" w:name="_Toc345312628"/>
      <w:bookmarkStart w:id="1988" w:name="_Toc332206740"/>
      <w:bookmarkStart w:id="1989" w:name="_Toc333935377"/>
      <w:bookmarkStart w:id="1990" w:name="_Toc339020264"/>
      <w:bookmarkStart w:id="1991" w:name="_Toc366072563"/>
      <w:bookmarkStart w:id="1992" w:name="_Toc342312474"/>
      <w:bookmarkStart w:id="1993" w:name="_Toc341348371"/>
      <w:bookmarkStart w:id="1994" w:name="_Toc1183"/>
      <w:r>
        <w:rPr>
          <w:rFonts w:hint="eastAsia"/>
          <w:color w:val="auto"/>
          <w:highlight w:val="none"/>
        </w:rPr>
        <w:t>附件</w:t>
      </w:r>
      <w:r>
        <w:rPr>
          <w:rFonts w:hint="eastAsia"/>
          <w:color w:val="auto"/>
          <w:highlight w:val="none"/>
          <w:lang w:val="en-US" w:eastAsia="zh-CN"/>
        </w:rPr>
        <w:t>九</w:t>
      </w:r>
      <w:r>
        <w:rPr>
          <w:rFonts w:hint="eastAsia"/>
          <w:color w:val="auto"/>
          <w:highlight w:val="none"/>
        </w:rPr>
        <w:t>：</w:t>
      </w:r>
      <w:bookmarkEnd w:id="1955"/>
      <w:r>
        <w:rPr>
          <w:rFonts w:hint="eastAsia"/>
          <w:color w:val="auto"/>
          <w:highlight w:val="none"/>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auto"/>
          <w:highlight w:val="none"/>
        </w:rPr>
      </w:pPr>
    </w:p>
    <w:p>
      <w:pPr>
        <w:adjustRightInd w:val="0"/>
        <w:snapToGrid w:val="0"/>
        <w:spacing w:line="360" w:lineRule="auto"/>
        <w:jc w:val="left"/>
        <w:rPr>
          <w:rFonts w:ascii="宋体" w:hAnsi="宋体"/>
          <w:bCs/>
          <w:caps/>
          <w:color w:val="auto"/>
          <w:szCs w:val="21"/>
          <w:highlight w:val="none"/>
          <w:u w:val="single"/>
        </w:rPr>
      </w:pPr>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p>
    <w:p>
      <w:pPr>
        <w:adjustRightInd w:val="0"/>
        <w:snapToGrid w:val="0"/>
        <w:spacing w:line="360" w:lineRule="auto"/>
        <w:ind w:left="1050" w:hanging="1050" w:hangingChars="500"/>
        <w:jc w:val="left"/>
        <w:rPr>
          <w:rFonts w:ascii="宋体" w:hAnsi="宋体"/>
          <w:bCs/>
          <w:color w:val="auto"/>
          <w:highlight w:val="none"/>
        </w:rPr>
      </w:pPr>
    </w:p>
    <w:p>
      <w:pPr>
        <w:pStyle w:val="5"/>
        <w:spacing w:line="360" w:lineRule="auto"/>
        <w:rPr>
          <w:rFonts w:hAnsi="宋体"/>
          <w:bCs/>
          <w:color w:val="auto"/>
          <w:sz w:val="21"/>
          <w:highlight w:val="none"/>
        </w:rPr>
      </w:pPr>
    </w:p>
    <w:p>
      <w:pPr>
        <w:pStyle w:val="5"/>
        <w:spacing w:line="360" w:lineRule="auto"/>
        <w:rPr>
          <w:rFonts w:hAnsi="宋体"/>
          <w:bCs/>
          <w:color w:val="auto"/>
          <w:sz w:val="21"/>
          <w:highlight w:val="none"/>
        </w:rPr>
      </w:pPr>
      <w:r>
        <w:rPr>
          <w:rFonts w:hint="eastAsia" w:hAnsi="宋体"/>
          <w:bCs/>
          <w:color w:val="auto"/>
          <w:sz w:val="21"/>
          <w:highlight w:val="none"/>
        </w:rPr>
        <w:t>本节无格式要求，投标人可根据自身实际情况以及招标文件评分细则规定的详细评审内容和应当提供的证明材料进行编制。</w:t>
      </w:r>
    </w:p>
    <w:p>
      <w:pPr>
        <w:pStyle w:val="5"/>
        <w:spacing w:line="360" w:lineRule="auto"/>
        <w:rPr>
          <w:rFonts w:hAnsi="宋体"/>
          <w:bCs/>
          <w:color w:val="auto"/>
          <w:sz w:val="21"/>
          <w:highlight w:val="none"/>
        </w:rPr>
      </w:pPr>
      <w:r>
        <w:rPr>
          <w:rFonts w:hint="eastAsia" w:hAnsi="宋体"/>
          <w:bCs/>
          <w:color w:val="auto"/>
          <w:sz w:val="21"/>
          <w:highlight w:val="none"/>
        </w:rPr>
        <w:t>一、</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二、</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三、</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四、</w:t>
      </w:r>
      <w:r>
        <w:rPr>
          <w:rFonts w:hAnsi="宋体"/>
          <w:bCs/>
          <w:color w:val="auto"/>
          <w:sz w:val="21"/>
          <w:highlight w:val="none"/>
        </w:rPr>
        <w:t>...</w:t>
      </w: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5"/>
        <w:spacing w:line="360" w:lineRule="auto"/>
        <w:rPr>
          <w:color w:val="auto"/>
          <w:highlight w:val="none"/>
        </w:rPr>
      </w:pPr>
    </w:p>
    <w:p>
      <w:pPr>
        <w:adjustRightInd w:val="0"/>
        <w:snapToGrid w:val="0"/>
        <w:spacing w:line="440" w:lineRule="exact"/>
        <w:rPr>
          <w:color w:val="auto"/>
          <w:highlight w:val="none"/>
        </w:rPr>
      </w:pPr>
      <w:r>
        <w:rPr>
          <w:rFonts w:hint="eastAsia"/>
          <w:color w:val="auto"/>
          <w:highlight w:val="none"/>
        </w:rPr>
        <w:t>（投标人认为本节无须提交的，应注明“本节空白”字样）。</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ind w:firstLine="0"/>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4"/>
        <w:numPr>
          <w:ilvl w:val="0"/>
          <w:numId w:val="0"/>
        </w:numPr>
        <w:rPr>
          <w:color w:val="auto"/>
          <w:sz w:val="52"/>
          <w:highlight w:val="none"/>
        </w:rPr>
      </w:pPr>
      <w:bookmarkStart w:id="1995" w:name="_Toc456887842"/>
      <w:bookmarkStart w:id="1996" w:name="_Toc456888293"/>
      <w:bookmarkStart w:id="1997" w:name="_Toc6147"/>
      <w:r>
        <w:rPr>
          <w:rFonts w:hint="eastAsia"/>
          <w:color w:val="auto"/>
          <w:sz w:val="52"/>
          <w:highlight w:val="none"/>
        </w:rPr>
        <w:t>其 他 格 式</w:t>
      </w:r>
      <w:bookmarkEnd w:id="1951"/>
      <w:bookmarkEnd w:id="1995"/>
      <w:bookmarkEnd w:id="1996"/>
      <w:bookmarkEnd w:id="1997"/>
    </w:p>
    <w:p>
      <w:pPr>
        <w:jc w:val="center"/>
        <w:rPr>
          <w:rFonts w:ascii="宋体" w:hAnsi="宋体"/>
          <w:b/>
          <w:color w:val="auto"/>
          <w:sz w:val="28"/>
          <w:highlight w:val="none"/>
        </w:rPr>
      </w:pPr>
      <w:r>
        <w:rPr>
          <w:rFonts w:hint="eastAsia" w:ascii="宋体" w:hAnsi="宋体"/>
          <w:b/>
          <w:color w:val="auto"/>
          <w:sz w:val="36"/>
          <w:highlight w:val="none"/>
        </w:rPr>
        <w:t>（以下文件勿装订在投标文件内</w:t>
      </w:r>
      <w:r>
        <w:rPr>
          <w:rFonts w:ascii="宋体" w:hAnsi="宋体"/>
          <w:b/>
          <w:color w:val="auto"/>
          <w:sz w:val="36"/>
          <w:highlight w:val="none"/>
        </w:rPr>
        <w:t>）</w:t>
      </w: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pStyle w:val="6"/>
        <w:numPr>
          <w:ilvl w:val="0"/>
          <w:numId w:val="0"/>
        </w:numPr>
        <w:spacing w:afterLines="50"/>
        <w:jc w:val="center"/>
        <w:rPr>
          <w:rFonts w:ascii="宋体" w:hAnsi="宋体" w:eastAsia="宋体"/>
          <w:b/>
          <w:color w:val="auto"/>
          <w:sz w:val="28"/>
          <w:highlight w:val="none"/>
        </w:rPr>
      </w:pPr>
      <w:bookmarkStart w:id="1998" w:name="_Toc456887843"/>
      <w:bookmarkStart w:id="1999" w:name="_Toc456888294"/>
      <w:bookmarkStart w:id="2000" w:name="_Toc17179"/>
      <w:r>
        <w:rPr>
          <w:rFonts w:hint="eastAsia" w:ascii="宋体" w:hAnsi="宋体" w:eastAsia="宋体"/>
          <w:b/>
          <w:color w:val="auto"/>
          <w:sz w:val="28"/>
          <w:highlight w:val="none"/>
        </w:rPr>
        <w:t>投标保证金退付书</w:t>
      </w:r>
      <w:bookmarkEnd w:id="1998"/>
      <w:bookmarkEnd w:id="1999"/>
      <w:bookmarkEnd w:id="2000"/>
    </w:p>
    <w:p>
      <w:pPr>
        <w:pStyle w:val="5"/>
        <w:rPr>
          <w:color w:val="auto"/>
          <w:highlight w:val="none"/>
        </w:rPr>
      </w:pPr>
    </w:p>
    <w:p>
      <w:pPr>
        <w:spacing w:line="288" w:lineRule="auto"/>
        <w:rPr>
          <w:rFonts w:hint="eastAsia" w:ascii="宋体" w:hAnsi="宋体" w:eastAsia="宋体"/>
          <w:b/>
          <w:color w:val="auto"/>
          <w:szCs w:val="21"/>
          <w:highlight w:val="none"/>
          <w:lang w:eastAsia="zh-CN"/>
        </w:rPr>
      </w:pPr>
      <w:r>
        <w:rPr>
          <w:rFonts w:hint="eastAsia" w:ascii="宋体" w:hAnsi="宋体"/>
          <w:b/>
          <w:color w:val="auto"/>
          <w:szCs w:val="21"/>
          <w:highlight w:val="none"/>
        </w:rPr>
        <w:t>致：</w:t>
      </w:r>
      <w:r>
        <w:rPr>
          <w:rFonts w:hint="eastAsia" w:ascii="宋体" w:hAnsi="宋体"/>
          <w:b/>
          <w:color w:val="auto"/>
          <w:szCs w:val="21"/>
          <w:highlight w:val="none"/>
          <w:lang w:eastAsia="zh-CN"/>
        </w:rPr>
        <w:t>广东业信招标有限公司</w:t>
      </w:r>
    </w:p>
    <w:p>
      <w:pPr>
        <w:spacing w:line="288" w:lineRule="auto"/>
        <w:ind w:firstLine="420" w:firstLineChars="200"/>
        <w:rPr>
          <w:rFonts w:ascii="宋体" w:hAnsi="宋体"/>
          <w:color w:val="auto"/>
          <w:szCs w:val="21"/>
          <w:highlight w:val="none"/>
        </w:rPr>
      </w:pPr>
      <w:r>
        <w:rPr>
          <w:rFonts w:hint="eastAsia" w:ascii="宋体" w:hAnsi="宋体"/>
          <w:color w:val="auto"/>
          <w:szCs w:val="21"/>
          <w:highlight w:val="none"/>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3287" w:type="dxa"/>
            <w:gridSpan w:val="2"/>
            <w:vAlign w:val="center"/>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项目名称</w:t>
            </w:r>
          </w:p>
        </w:tc>
        <w:tc>
          <w:tcPr>
            <w:tcW w:w="6095" w:type="dxa"/>
            <w:gridSpan w:val="3"/>
          </w:tcPr>
          <w:p>
            <w:pPr>
              <w:ind w:right="206" w:rightChars="98"/>
              <w:rPr>
                <w:rStyle w:val="302"/>
                <w:rFonts w:ascii="宋体" w:hAnsi="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项目编号</w:t>
            </w:r>
          </w:p>
        </w:tc>
        <w:tc>
          <w:tcPr>
            <w:tcW w:w="6095" w:type="dxa"/>
            <w:gridSpan w:val="3"/>
          </w:tcPr>
          <w:p>
            <w:pPr>
              <w:ind w:right="206" w:rightChars="98"/>
              <w:rPr>
                <w:rStyle w:val="302"/>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收款单位</w:t>
            </w:r>
          </w:p>
        </w:tc>
        <w:tc>
          <w:tcPr>
            <w:tcW w:w="2836" w:type="dxa"/>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收款单位名称</w:t>
            </w:r>
          </w:p>
        </w:tc>
        <w:tc>
          <w:tcPr>
            <w:tcW w:w="6095" w:type="dxa"/>
            <w:gridSpan w:val="3"/>
          </w:tcPr>
          <w:p>
            <w:pPr>
              <w:ind w:right="206" w:rightChars="98"/>
              <w:jc w:val="center"/>
              <w:rPr>
                <w:rStyle w:val="302"/>
                <w:color w:val="auto"/>
                <w:spacing w:val="10"/>
                <w:sz w:val="21"/>
                <w:szCs w:val="21"/>
                <w:highlight w:val="none"/>
                <w:u w:val="single"/>
                <w:lang w:val="zh-CN"/>
              </w:rPr>
            </w:pPr>
            <w:r>
              <w:rPr>
                <w:rStyle w:val="302"/>
                <w:color w:val="auto"/>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auto"/>
                <w:spacing w:val="10"/>
                <w:sz w:val="21"/>
                <w:szCs w:val="21"/>
                <w:highlight w:val="none"/>
                <w:lang w:val="zh-CN"/>
              </w:rPr>
            </w:pPr>
          </w:p>
        </w:tc>
        <w:tc>
          <w:tcPr>
            <w:tcW w:w="2836" w:type="dxa"/>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收款单位地址</w:t>
            </w:r>
          </w:p>
        </w:tc>
        <w:tc>
          <w:tcPr>
            <w:tcW w:w="6095" w:type="dxa"/>
            <w:gridSpan w:val="3"/>
          </w:tcPr>
          <w:p>
            <w:pPr>
              <w:ind w:right="206" w:rightChars="98"/>
              <w:jc w:val="center"/>
              <w:rPr>
                <w:rStyle w:val="302"/>
                <w:color w:val="auto"/>
                <w:spacing w:val="10"/>
                <w:sz w:val="21"/>
                <w:szCs w:val="21"/>
                <w:highlight w:val="none"/>
                <w:lang w:val="zh-CN"/>
              </w:rPr>
            </w:pPr>
            <w:r>
              <w:rPr>
                <w:rStyle w:val="302"/>
                <w:color w:val="auto"/>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auto"/>
                <w:spacing w:val="10"/>
                <w:sz w:val="21"/>
                <w:szCs w:val="21"/>
                <w:highlight w:val="none"/>
                <w:lang w:val="zh-CN"/>
              </w:rPr>
            </w:pPr>
          </w:p>
        </w:tc>
        <w:tc>
          <w:tcPr>
            <w:tcW w:w="2836" w:type="dxa"/>
            <w:vAlign w:val="center"/>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开户银行</w:t>
            </w:r>
            <w:r>
              <w:rPr>
                <w:rStyle w:val="302"/>
                <w:color w:val="auto"/>
                <w:spacing w:val="10"/>
                <w:sz w:val="21"/>
                <w:szCs w:val="21"/>
                <w:highlight w:val="none"/>
                <w:lang w:val="zh-CN"/>
              </w:rPr>
              <w:t>（含汇入地点）</w:t>
            </w:r>
          </w:p>
        </w:tc>
        <w:tc>
          <w:tcPr>
            <w:tcW w:w="6095" w:type="dxa"/>
            <w:gridSpan w:val="3"/>
            <w:vAlign w:val="center"/>
          </w:tcPr>
          <w:p>
            <w:pPr>
              <w:ind w:right="206" w:rightChars="98" w:firstLine="460" w:firstLineChars="200"/>
              <w:rPr>
                <w:rStyle w:val="302"/>
                <w:color w:val="auto"/>
                <w:spacing w:val="10"/>
                <w:sz w:val="21"/>
                <w:szCs w:val="21"/>
                <w:highlight w:val="none"/>
                <w:lang w:val="zh-CN"/>
              </w:rPr>
            </w:pPr>
            <w:r>
              <w:rPr>
                <w:rStyle w:val="302"/>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auto"/>
                <w:spacing w:val="10"/>
                <w:sz w:val="21"/>
                <w:szCs w:val="21"/>
                <w:highlight w:val="none"/>
                <w:lang w:val="zh-CN"/>
              </w:rPr>
            </w:pPr>
          </w:p>
        </w:tc>
        <w:tc>
          <w:tcPr>
            <w:tcW w:w="2836" w:type="dxa"/>
            <w:vAlign w:val="center"/>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银行账号</w:t>
            </w:r>
          </w:p>
        </w:tc>
        <w:tc>
          <w:tcPr>
            <w:tcW w:w="6095" w:type="dxa"/>
            <w:gridSpan w:val="3"/>
          </w:tcPr>
          <w:p>
            <w:pPr>
              <w:ind w:right="206" w:rightChars="98"/>
              <w:jc w:val="center"/>
              <w:rPr>
                <w:rStyle w:val="302"/>
                <w:color w:val="auto"/>
                <w:spacing w:val="10"/>
                <w:sz w:val="21"/>
                <w:szCs w:val="21"/>
                <w:highlight w:val="none"/>
                <w:u w:val="single"/>
                <w:lang w:val="zh-CN"/>
              </w:rPr>
            </w:pPr>
            <w:r>
              <w:rPr>
                <w:rStyle w:val="302"/>
                <w:color w:val="auto"/>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auto"/>
                <w:spacing w:val="10"/>
                <w:sz w:val="21"/>
                <w:szCs w:val="21"/>
                <w:highlight w:val="none"/>
                <w:lang w:val="zh-CN"/>
              </w:rPr>
            </w:pPr>
          </w:p>
        </w:tc>
        <w:tc>
          <w:tcPr>
            <w:tcW w:w="2836" w:type="dxa"/>
            <w:vAlign w:val="center"/>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总金额（投标保证金）</w:t>
            </w:r>
          </w:p>
        </w:tc>
        <w:tc>
          <w:tcPr>
            <w:tcW w:w="6095" w:type="dxa"/>
            <w:gridSpan w:val="3"/>
            <w:vAlign w:val="center"/>
          </w:tcPr>
          <w:p>
            <w:pPr>
              <w:ind w:right="206" w:rightChars="98"/>
              <w:jc w:val="center"/>
              <w:rPr>
                <w:rStyle w:val="302"/>
                <w:color w:val="auto"/>
                <w:spacing w:val="10"/>
                <w:sz w:val="21"/>
                <w:szCs w:val="21"/>
                <w:highlight w:val="none"/>
                <w:lang w:val="zh-CN"/>
              </w:rPr>
            </w:pPr>
            <w:r>
              <w:rPr>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auto"/>
                <w:spacing w:val="10"/>
                <w:sz w:val="21"/>
                <w:szCs w:val="21"/>
                <w:highlight w:val="none"/>
                <w:lang w:val="zh-CN"/>
              </w:rPr>
            </w:pPr>
          </w:p>
        </w:tc>
        <w:tc>
          <w:tcPr>
            <w:tcW w:w="2836" w:type="dxa"/>
            <w:vMerge w:val="restart"/>
            <w:vAlign w:val="center"/>
          </w:tcPr>
          <w:p>
            <w:pPr>
              <w:ind w:right="206" w:rightChars="98"/>
              <w:jc w:val="center"/>
              <w:rPr>
                <w:rStyle w:val="302"/>
                <w:b/>
                <w:color w:val="auto"/>
                <w:spacing w:val="10"/>
                <w:sz w:val="21"/>
                <w:szCs w:val="21"/>
                <w:highlight w:val="none"/>
                <w:lang w:val="zh-CN"/>
              </w:rPr>
            </w:pPr>
            <w:r>
              <w:rPr>
                <w:rStyle w:val="302"/>
                <w:b/>
                <w:color w:val="auto"/>
                <w:spacing w:val="10"/>
                <w:sz w:val="21"/>
                <w:szCs w:val="21"/>
                <w:highlight w:val="none"/>
                <w:lang w:val="zh-CN"/>
              </w:rPr>
              <w:t>财务联系人</w:t>
            </w:r>
          </w:p>
        </w:tc>
        <w:tc>
          <w:tcPr>
            <w:tcW w:w="1498" w:type="dxa"/>
            <w:vMerge w:val="restart"/>
            <w:vAlign w:val="center"/>
          </w:tcPr>
          <w:p>
            <w:pPr>
              <w:ind w:right="206" w:rightChars="98"/>
              <w:rPr>
                <w:rStyle w:val="302"/>
                <w:color w:val="auto"/>
                <w:spacing w:val="10"/>
                <w:sz w:val="21"/>
                <w:szCs w:val="21"/>
                <w:highlight w:val="none"/>
                <w:lang w:val="zh-CN"/>
              </w:rPr>
            </w:pPr>
          </w:p>
        </w:tc>
        <w:tc>
          <w:tcPr>
            <w:tcW w:w="1481" w:type="dxa"/>
            <w:vAlign w:val="center"/>
          </w:tcPr>
          <w:p>
            <w:pPr>
              <w:ind w:right="206" w:rightChars="98"/>
              <w:jc w:val="center"/>
              <w:rPr>
                <w:rStyle w:val="302"/>
                <w:color w:val="auto"/>
                <w:spacing w:val="10"/>
                <w:sz w:val="21"/>
                <w:szCs w:val="21"/>
                <w:highlight w:val="none"/>
                <w:lang w:val="zh-CN"/>
              </w:rPr>
            </w:pPr>
            <w:r>
              <w:rPr>
                <w:rStyle w:val="302"/>
                <w:color w:val="auto"/>
                <w:spacing w:val="10"/>
                <w:sz w:val="21"/>
                <w:szCs w:val="21"/>
                <w:highlight w:val="none"/>
                <w:lang w:val="zh-CN"/>
              </w:rPr>
              <w:t>联系电话</w:t>
            </w:r>
          </w:p>
        </w:tc>
        <w:tc>
          <w:tcPr>
            <w:tcW w:w="3116" w:type="dxa"/>
            <w:vAlign w:val="center"/>
          </w:tcPr>
          <w:p>
            <w:pPr>
              <w:ind w:right="206" w:rightChars="98"/>
              <w:rPr>
                <w:rStyle w:val="302"/>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auto"/>
                <w:spacing w:val="10"/>
                <w:sz w:val="21"/>
                <w:szCs w:val="21"/>
                <w:highlight w:val="none"/>
                <w:lang w:val="zh-CN"/>
              </w:rPr>
            </w:pPr>
          </w:p>
        </w:tc>
        <w:tc>
          <w:tcPr>
            <w:tcW w:w="2836" w:type="dxa"/>
            <w:vMerge w:val="continue"/>
          </w:tcPr>
          <w:p>
            <w:pPr>
              <w:ind w:right="206" w:rightChars="98"/>
              <w:jc w:val="center"/>
              <w:rPr>
                <w:rStyle w:val="302"/>
                <w:b/>
                <w:color w:val="auto"/>
                <w:spacing w:val="10"/>
                <w:sz w:val="21"/>
                <w:szCs w:val="21"/>
                <w:highlight w:val="none"/>
                <w:lang w:val="zh-CN"/>
              </w:rPr>
            </w:pPr>
          </w:p>
        </w:tc>
        <w:tc>
          <w:tcPr>
            <w:tcW w:w="1498" w:type="dxa"/>
            <w:vMerge w:val="continue"/>
            <w:vAlign w:val="center"/>
          </w:tcPr>
          <w:p>
            <w:pPr>
              <w:ind w:right="206" w:rightChars="98"/>
              <w:rPr>
                <w:rStyle w:val="302"/>
                <w:color w:val="auto"/>
                <w:spacing w:val="10"/>
                <w:sz w:val="21"/>
                <w:szCs w:val="21"/>
                <w:highlight w:val="none"/>
                <w:lang w:val="zh-CN"/>
              </w:rPr>
            </w:pPr>
          </w:p>
        </w:tc>
        <w:tc>
          <w:tcPr>
            <w:tcW w:w="1481" w:type="dxa"/>
            <w:vAlign w:val="center"/>
          </w:tcPr>
          <w:p>
            <w:pPr>
              <w:ind w:right="206" w:rightChars="98"/>
              <w:jc w:val="center"/>
              <w:rPr>
                <w:rStyle w:val="302"/>
                <w:color w:val="auto"/>
                <w:spacing w:val="10"/>
                <w:sz w:val="21"/>
                <w:szCs w:val="21"/>
                <w:highlight w:val="none"/>
                <w:lang w:val="zh-CN"/>
              </w:rPr>
            </w:pPr>
            <w:r>
              <w:rPr>
                <w:rStyle w:val="302"/>
                <w:color w:val="auto"/>
                <w:spacing w:val="10"/>
                <w:sz w:val="21"/>
                <w:szCs w:val="21"/>
                <w:highlight w:val="none"/>
                <w:lang w:val="zh-CN"/>
              </w:rPr>
              <w:t>传真</w:t>
            </w:r>
          </w:p>
        </w:tc>
        <w:tc>
          <w:tcPr>
            <w:tcW w:w="3116" w:type="dxa"/>
            <w:vAlign w:val="center"/>
          </w:tcPr>
          <w:p>
            <w:pPr>
              <w:ind w:right="206" w:rightChars="98"/>
              <w:rPr>
                <w:rStyle w:val="302"/>
                <w:color w:val="auto"/>
                <w:spacing w:val="10"/>
                <w:sz w:val="21"/>
                <w:szCs w:val="21"/>
                <w:highlight w:val="none"/>
                <w:lang w:val="zh-CN"/>
              </w:rPr>
            </w:pPr>
          </w:p>
        </w:tc>
      </w:tr>
    </w:tbl>
    <w:p>
      <w:pPr>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auto"/>
                <w:szCs w:val="21"/>
                <w:highlight w:val="none"/>
              </w:rPr>
            </w:pPr>
            <w:r>
              <w:rPr>
                <w:rFonts w:hint="eastAsia" w:ascii="宋体" w:hAnsi="宋体"/>
                <w:b/>
                <w:color w:val="auto"/>
                <w:szCs w:val="21"/>
                <w:highlight w:val="none"/>
              </w:rPr>
              <w:t>投标保证金银行汇款单复印件</w:t>
            </w:r>
          </w:p>
          <w:p>
            <w:pPr>
              <w:jc w:val="center"/>
              <w:rPr>
                <w:rFonts w:ascii="宋体" w:hAnsi="宋体"/>
                <w:b/>
                <w:color w:val="auto"/>
                <w:szCs w:val="21"/>
                <w:highlight w:val="none"/>
              </w:rPr>
            </w:pPr>
            <w:r>
              <w:rPr>
                <w:rFonts w:hint="eastAsia" w:ascii="宋体" w:hAnsi="宋体"/>
                <w:b/>
                <w:color w:val="auto"/>
                <w:szCs w:val="21"/>
                <w:highlight w:val="none"/>
              </w:rPr>
              <w:t>（请投标投标人在此处贴上）</w:t>
            </w:r>
          </w:p>
        </w:tc>
      </w:tr>
    </w:tbl>
    <w:p>
      <w:pPr>
        <w:rPr>
          <w:rFonts w:ascii="宋体" w:hAnsi="宋体"/>
          <w:color w:val="auto"/>
          <w:szCs w:val="21"/>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rPr>
          <w:rFonts w:ascii="宋体" w:hAnsi="宋体"/>
          <w:bCs/>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rPr>
          <w:rFonts w:ascii="宋体" w:hAnsi="宋体"/>
          <w:b/>
          <w:color w:val="auto"/>
          <w:szCs w:val="21"/>
          <w:highlight w:val="none"/>
        </w:rPr>
      </w:pPr>
      <w:r>
        <w:rPr>
          <w:rFonts w:hint="eastAsia" w:ascii="宋体" w:hAnsi="宋体"/>
          <w:b/>
          <w:color w:val="auto"/>
          <w:szCs w:val="21"/>
          <w:highlight w:val="none"/>
        </w:rPr>
        <w:t>注：本退付书须放入唱标信封内，勿装订在投标文件内。</w:t>
      </w:r>
    </w:p>
    <w:p>
      <w:pPr>
        <w:rPr>
          <w:rFonts w:ascii="宋体" w:hAnsi="宋体"/>
          <w:b/>
          <w:color w:val="auto"/>
          <w:szCs w:val="21"/>
          <w:highlight w:val="none"/>
        </w:rPr>
      </w:pPr>
    </w:p>
    <w:p>
      <w:pPr>
        <w:jc w:val="center"/>
        <w:rPr>
          <w:rFonts w:hint="eastAsia"/>
          <w:b/>
          <w:bCs/>
          <w:color w:val="auto"/>
          <w:sz w:val="44"/>
          <w:szCs w:val="44"/>
          <w:highlight w:val="none"/>
        </w:rPr>
      </w:pPr>
    </w:p>
    <w:p>
      <w:pPr>
        <w:jc w:val="center"/>
        <w:rPr>
          <w:rFonts w:hint="eastAsia"/>
          <w:b/>
          <w:bCs/>
          <w:color w:val="auto"/>
          <w:szCs w:val="21"/>
          <w:highlight w:val="none"/>
        </w:rPr>
      </w:pPr>
      <w:r>
        <w:rPr>
          <w:rFonts w:hint="eastAsia"/>
          <w:b/>
          <w:bCs/>
          <w:color w:val="auto"/>
          <w:sz w:val="44"/>
          <w:szCs w:val="44"/>
          <w:highlight w:val="none"/>
        </w:rPr>
        <w:t>购买标书登记表</w:t>
      </w:r>
    </w:p>
    <w:p>
      <w:pPr>
        <w:jc w:val="center"/>
        <w:rPr>
          <w:rFonts w:hint="eastAsia"/>
          <w:color w:val="auto"/>
          <w:szCs w:val="21"/>
          <w:highlight w:val="none"/>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41"/>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auto"/>
          <w:szCs w:val="21"/>
          <w:highlight w:val="none"/>
        </w:rPr>
      </w:pPr>
    </w:p>
    <w:p>
      <w:pPr>
        <w:pStyle w:val="41"/>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41"/>
        <w:spacing w:before="0" w:beforeAutospacing="0" w:after="0" w:afterAutospacing="0" w:line="360" w:lineRule="auto"/>
        <w:jc w:val="center"/>
        <w:rPr>
          <w:rStyle w:val="48"/>
          <w:rFonts w:cs="Times New Roman"/>
          <w:color w:val="auto"/>
          <w:highlight w:val="none"/>
        </w:rPr>
      </w:pPr>
      <w:r>
        <w:rPr>
          <w:rStyle w:val="48"/>
          <w:rFonts w:hint="eastAsia" w:cs="Times New Roman"/>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lang w:eastAsia="zh-CN"/>
        </w:rPr>
        <w:t>广东业信招标有限公司</w:t>
      </w: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41"/>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41"/>
        <w:spacing w:before="0" w:beforeAutospacing="0" w:after="0" w:afterAutospacing="0" w:line="360" w:lineRule="auto"/>
        <w:jc w:val="center"/>
        <w:rPr>
          <w:rStyle w:val="48"/>
          <w:rFonts w:cs="Times New Roman"/>
          <w:color w:val="auto"/>
          <w:highlight w:val="none"/>
        </w:rPr>
      </w:pPr>
      <w:r>
        <w:rPr>
          <w:rStyle w:val="48"/>
          <w:rFonts w:hint="eastAsia" w:cs="Times New Roman"/>
          <w:b w:val="0"/>
          <w:color w:val="auto"/>
          <w:highlight w:val="none"/>
        </w:rPr>
        <w:t>质疑函</w:t>
      </w:r>
    </w:p>
    <w:p>
      <w:pPr>
        <w:adjustRightInd w:val="0"/>
        <w:snapToGrid w:val="0"/>
        <w:spacing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snapToGrid w:val="0"/>
        <w:spacing w:line="360" w:lineRule="auto"/>
        <w:ind w:right="960"/>
        <w:rPr>
          <w:rFonts w:ascii="宋体" w:hAnsi="宋体"/>
          <w:color w:val="auto"/>
          <w:sz w:val="24"/>
          <w:highlight w:val="none"/>
        </w:rPr>
      </w:pPr>
    </w:p>
    <w:p>
      <w:pPr>
        <w:spacing w:line="360" w:lineRule="auto"/>
        <w:jc w:val="left"/>
        <w:rPr>
          <w:rFonts w:ascii="仿宋_GB2312" w:hAnsi="仿宋" w:eastAsia="仿宋_GB2312"/>
          <w:color w:val="auto"/>
          <w:sz w:val="24"/>
          <w:highlight w:val="none"/>
        </w:rPr>
      </w:pPr>
    </w:p>
    <w:p>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9"/>
      </w:rPr>
    </w:pPr>
    <w:r>
      <w:fldChar w:fldCharType="begin"/>
    </w:r>
    <w:r>
      <w:rPr>
        <w:rStyle w:val="49"/>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0"/>
  </w:num>
  <w:num w:numId="23">
    <w:abstractNumId w:val="1"/>
  </w:num>
  <w:num w:numId="24">
    <w:abstractNumId w:val="16"/>
  </w:num>
  <w:num w:numId="25">
    <w:abstractNumId w:val="21"/>
  </w:num>
  <w:num w:numId="26">
    <w:abstractNumId w:val="22"/>
  </w:num>
  <w:num w:numId="27">
    <w:abstractNumId w:val="5"/>
  </w:num>
  <w:num w:numId="28">
    <w:abstractNumId w:val="10"/>
  </w:num>
  <w:num w:numId="29">
    <w:abstractNumId w:val="23"/>
    <w:lvlOverride w:ilvl="0">
      <w:startOverride w:val="1"/>
    </w:lvlOverride>
  </w:num>
  <w:num w:numId="30">
    <w:abstractNumId w:val="32"/>
  </w:num>
  <w:num w:numId="31">
    <w:abstractNumId w:val="2"/>
  </w:num>
  <w:num w:numId="32">
    <w:abstractNumId w:val="0"/>
  </w:num>
  <w:num w:numId="33">
    <w:abstractNumId w:val="33"/>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1512B78"/>
    <w:rsid w:val="02FF3463"/>
    <w:rsid w:val="03DF4B90"/>
    <w:rsid w:val="0663620A"/>
    <w:rsid w:val="07086207"/>
    <w:rsid w:val="08680198"/>
    <w:rsid w:val="096C7482"/>
    <w:rsid w:val="0B5C2951"/>
    <w:rsid w:val="0BCA4A38"/>
    <w:rsid w:val="0F23766A"/>
    <w:rsid w:val="0F621C2B"/>
    <w:rsid w:val="0F7457E9"/>
    <w:rsid w:val="0FCA12E5"/>
    <w:rsid w:val="113B1BFC"/>
    <w:rsid w:val="116E5B1D"/>
    <w:rsid w:val="13EC7D20"/>
    <w:rsid w:val="14725753"/>
    <w:rsid w:val="14B6708E"/>
    <w:rsid w:val="16E13197"/>
    <w:rsid w:val="19AB1C63"/>
    <w:rsid w:val="1A0D7AF2"/>
    <w:rsid w:val="1A255D39"/>
    <w:rsid w:val="1BA9401F"/>
    <w:rsid w:val="1C3660D4"/>
    <w:rsid w:val="1D2B7012"/>
    <w:rsid w:val="1D9D51F3"/>
    <w:rsid w:val="1DAE3F9A"/>
    <w:rsid w:val="1EA81EBA"/>
    <w:rsid w:val="1F5B1A41"/>
    <w:rsid w:val="2026530A"/>
    <w:rsid w:val="20BF76DA"/>
    <w:rsid w:val="21115AA1"/>
    <w:rsid w:val="21151D88"/>
    <w:rsid w:val="211B629E"/>
    <w:rsid w:val="21451B35"/>
    <w:rsid w:val="215A240F"/>
    <w:rsid w:val="22410012"/>
    <w:rsid w:val="2299090F"/>
    <w:rsid w:val="22D121EA"/>
    <w:rsid w:val="234E53B2"/>
    <w:rsid w:val="23B56C14"/>
    <w:rsid w:val="247256B6"/>
    <w:rsid w:val="267D4EFC"/>
    <w:rsid w:val="27740528"/>
    <w:rsid w:val="289457E1"/>
    <w:rsid w:val="29975528"/>
    <w:rsid w:val="29E55A72"/>
    <w:rsid w:val="2A515672"/>
    <w:rsid w:val="2AB90BF0"/>
    <w:rsid w:val="2BB44516"/>
    <w:rsid w:val="2D19172E"/>
    <w:rsid w:val="2ECE479A"/>
    <w:rsid w:val="2F045B74"/>
    <w:rsid w:val="2F0D6640"/>
    <w:rsid w:val="304F232A"/>
    <w:rsid w:val="312850D7"/>
    <w:rsid w:val="31501496"/>
    <w:rsid w:val="32755858"/>
    <w:rsid w:val="329D3D2E"/>
    <w:rsid w:val="34E45C3F"/>
    <w:rsid w:val="36897F35"/>
    <w:rsid w:val="36A068D5"/>
    <w:rsid w:val="37857396"/>
    <w:rsid w:val="388D4973"/>
    <w:rsid w:val="39145CDA"/>
    <w:rsid w:val="39EE72DC"/>
    <w:rsid w:val="3A7061B9"/>
    <w:rsid w:val="3AB35BB0"/>
    <w:rsid w:val="3B8C53ED"/>
    <w:rsid w:val="3C9D7B54"/>
    <w:rsid w:val="3D2D673D"/>
    <w:rsid w:val="3DB80C2A"/>
    <w:rsid w:val="3DE55B34"/>
    <w:rsid w:val="3E8D24D8"/>
    <w:rsid w:val="3F183561"/>
    <w:rsid w:val="40903CB4"/>
    <w:rsid w:val="422468A6"/>
    <w:rsid w:val="458F470E"/>
    <w:rsid w:val="468E4E6D"/>
    <w:rsid w:val="47B03BA9"/>
    <w:rsid w:val="49026E10"/>
    <w:rsid w:val="4A0B4034"/>
    <w:rsid w:val="4A2E02C6"/>
    <w:rsid w:val="4A7E1A8E"/>
    <w:rsid w:val="4B5F7C8F"/>
    <w:rsid w:val="4B9E1DB9"/>
    <w:rsid w:val="4C7310AD"/>
    <w:rsid w:val="4CF669CB"/>
    <w:rsid w:val="4D842037"/>
    <w:rsid w:val="4D9B2F7F"/>
    <w:rsid w:val="4DE436C5"/>
    <w:rsid w:val="4E9534A4"/>
    <w:rsid w:val="4EFE364C"/>
    <w:rsid w:val="4F22110D"/>
    <w:rsid w:val="4F3912D1"/>
    <w:rsid w:val="50086B0C"/>
    <w:rsid w:val="51127041"/>
    <w:rsid w:val="52267A1D"/>
    <w:rsid w:val="525755D8"/>
    <w:rsid w:val="54022FBD"/>
    <w:rsid w:val="544B39F7"/>
    <w:rsid w:val="54660E4D"/>
    <w:rsid w:val="54810BF1"/>
    <w:rsid w:val="550024AC"/>
    <w:rsid w:val="570016CA"/>
    <w:rsid w:val="575E5D84"/>
    <w:rsid w:val="5768620E"/>
    <w:rsid w:val="579923B0"/>
    <w:rsid w:val="589647C1"/>
    <w:rsid w:val="59174A94"/>
    <w:rsid w:val="59857735"/>
    <w:rsid w:val="5AAB6294"/>
    <w:rsid w:val="5B3A2A97"/>
    <w:rsid w:val="5C260263"/>
    <w:rsid w:val="5C6D5D5D"/>
    <w:rsid w:val="5D1C4AFB"/>
    <w:rsid w:val="5D886622"/>
    <w:rsid w:val="5E400EED"/>
    <w:rsid w:val="5E93433C"/>
    <w:rsid w:val="5FF14330"/>
    <w:rsid w:val="60AE2B4F"/>
    <w:rsid w:val="62A25746"/>
    <w:rsid w:val="643C3ECA"/>
    <w:rsid w:val="645529A9"/>
    <w:rsid w:val="64862C2B"/>
    <w:rsid w:val="6552795A"/>
    <w:rsid w:val="65D0211A"/>
    <w:rsid w:val="66176FA2"/>
    <w:rsid w:val="6661072D"/>
    <w:rsid w:val="66E32002"/>
    <w:rsid w:val="68615F66"/>
    <w:rsid w:val="68AF296B"/>
    <w:rsid w:val="6A8B3BD0"/>
    <w:rsid w:val="6B2B4E03"/>
    <w:rsid w:val="6B4B5941"/>
    <w:rsid w:val="6DFF5AD0"/>
    <w:rsid w:val="6E015061"/>
    <w:rsid w:val="70025E46"/>
    <w:rsid w:val="70CC10D4"/>
    <w:rsid w:val="70FA4B39"/>
    <w:rsid w:val="715E7281"/>
    <w:rsid w:val="72394572"/>
    <w:rsid w:val="73110955"/>
    <w:rsid w:val="735A1441"/>
    <w:rsid w:val="75F265F9"/>
    <w:rsid w:val="76F105F2"/>
    <w:rsid w:val="793067AF"/>
    <w:rsid w:val="7B073F40"/>
    <w:rsid w:val="7B6C094D"/>
    <w:rsid w:val="7E756C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2"/>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5"/>
    <w:qFormat/>
    <w:uiPriority w:val="0"/>
    <w:pPr>
      <w:keepNext/>
      <w:keepLines/>
      <w:spacing w:before="280" w:after="290" w:line="376" w:lineRule="auto"/>
      <w:outlineLvl w:val="4"/>
    </w:pPr>
    <w:rPr>
      <w:b/>
      <w:sz w:val="28"/>
      <w:szCs w:val="20"/>
    </w:rPr>
  </w:style>
  <w:style w:type="paragraph" w:styleId="9">
    <w:name w:val="heading 6"/>
    <w:basedOn w:val="1"/>
    <w:next w:val="5"/>
    <w:link w:val="90"/>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0"/>
    <w:qFormat/>
    <w:uiPriority w:val="0"/>
    <w:pPr>
      <w:keepNext/>
      <w:keepLines/>
      <w:spacing w:before="240" w:after="64" w:line="320" w:lineRule="auto"/>
      <w:outlineLvl w:val="6"/>
    </w:pPr>
    <w:rPr>
      <w:b/>
      <w:sz w:val="24"/>
      <w:szCs w:val="20"/>
    </w:rPr>
  </w:style>
  <w:style w:type="paragraph" w:styleId="11">
    <w:name w:val="heading 8"/>
    <w:basedOn w:val="1"/>
    <w:next w:val="5"/>
    <w:link w:val="97"/>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pPr>
      <w:spacing w:after="120"/>
    </w:pPr>
  </w:style>
  <w:style w:type="paragraph" w:styleId="5">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0"/>
    <w:qFormat/>
    <w:uiPriority w:val="0"/>
    <w:pPr>
      <w:spacing w:line="360" w:lineRule="auto"/>
      <w:jc w:val="left"/>
    </w:pPr>
    <w:rPr>
      <w:sz w:val="24"/>
    </w:rPr>
  </w:style>
  <w:style w:type="paragraph" w:styleId="18">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8"/>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3"/>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2"/>
    <w:qFormat/>
    <w:uiPriority w:val="0"/>
    <w:pPr>
      <w:numPr>
        <w:ilvl w:val="0"/>
        <w:numId w:val="4"/>
      </w:numPr>
      <w:ind w:left="100" w:leftChars="2500"/>
    </w:pPr>
  </w:style>
  <w:style w:type="paragraph" w:styleId="26">
    <w:name w:val="Body Text Indent 2"/>
    <w:basedOn w:val="1"/>
    <w:link w:val="70"/>
    <w:qFormat/>
    <w:uiPriority w:val="0"/>
    <w:pPr>
      <w:spacing w:line="480" w:lineRule="exact"/>
      <w:ind w:left="810" w:firstLine="675"/>
    </w:pPr>
    <w:rPr>
      <w:rFonts w:eastAsia="仿宋_GB2312"/>
      <w:sz w:val="30"/>
      <w:szCs w:val="20"/>
    </w:rPr>
  </w:style>
  <w:style w:type="paragraph" w:styleId="27">
    <w:name w:val="Balloon Text"/>
    <w:basedOn w:val="1"/>
    <w:link w:val="85"/>
    <w:qFormat/>
    <w:uiPriority w:val="0"/>
    <w:rPr>
      <w:sz w:val="18"/>
      <w:szCs w:val="18"/>
    </w:rPr>
  </w:style>
  <w:style w:type="paragraph" w:styleId="28">
    <w:name w:val="footer"/>
    <w:basedOn w:val="1"/>
    <w:link w:val="131"/>
    <w:qFormat/>
    <w:uiPriority w:val="0"/>
    <w:pPr>
      <w:tabs>
        <w:tab w:val="center" w:pos="4153"/>
        <w:tab w:val="right" w:pos="8306"/>
      </w:tabs>
      <w:snapToGrid w:val="0"/>
      <w:jc w:val="left"/>
    </w:pPr>
    <w:rPr>
      <w:sz w:val="18"/>
      <w:szCs w:val="20"/>
    </w:rPr>
  </w:style>
  <w:style w:type="paragraph" w:styleId="29">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0"/>
    <w:qFormat/>
    <w:uiPriority w:val="0"/>
    <w:pPr>
      <w:spacing w:line="360" w:lineRule="auto"/>
    </w:pPr>
    <w:rPr>
      <w:rFonts w:ascii="仿宋_GB2312" w:eastAsia="仿宋_GB2312"/>
      <w:sz w:val="32"/>
    </w:rPr>
  </w:style>
  <w:style w:type="paragraph" w:styleId="40">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4"/>
    <w:qFormat/>
    <w:uiPriority w:val="0"/>
    <w:pPr>
      <w:spacing w:before="240" w:after="60"/>
      <w:jc w:val="center"/>
      <w:outlineLvl w:val="0"/>
    </w:pPr>
    <w:rPr>
      <w:rFonts w:ascii="Cambria" w:hAnsi="Cambria"/>
      <w:b/>
      <w:bCs/>
      <w:sz w:val="32"/>
      <w:szCs w:val="32"/>
    </w:rPr>
  </w:style>
  <w:style w:type="paragraph" w:styleId="44">
    <w:name w:val="Body Text First Indent"/>
    <w:basedOn w:val="2"/>
    <w:link w:val="132"/>
    <w:qFormat/>
    <w:uiPriority w:val="0"/>
    <w:pPr>
      <w:ind w:firstLine="100" w:firstLineChars="100"/>
    </w:pPr>
    <w:rPr>
      <w:rFonts w:ascii="Calibri" w:hAnsi="Calibri"/>
      <w:szCs w:val="22"/>
    </w:rPr>
  </w:style>
  <w:style w:type="paragraph" w:styleId="45">
    <w:name w:val="Body Text First Indent 2"/>
    <w:basedOn w:val="18"/>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45"/>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5"/>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45"/>
    <w:link w:val="67"/>
    <w:qFormat/>
    <w:uiPriority w:val="0"/>
  </w:style>
  <w:style w:type="character" w:customStyle="1" w:styleId="69">
    <w:name w:val="style71"/>
    <w:qFormat/>
    <w:uiPriority w:val="0"/>
    <w:rPr>
      <w:sz w:val="21"/>
      <w:szCs w:val="21"/>
    </w:rPr>
  </w:style>
  <w:style w:type="character" w:customStyle="1" w:styleId="70">
    <w:name w:val="正文文本缩进 2 Char"/>
    <w:link w:val="26"/>
    <w:qFormat/>
    <w:uiPriority w:val="0"/>
    <w:rPr>
      <w:rFonts w:eastAsia="仿宋_GB2312"/>
      <w:kern w:val="2"/>
      <w:sz w:val="30"/>
      <w:lang w:val="en-US" w:eastAsia="zh-CN" w:bidi="ar-SA"/>
    </w:rPr>
  </w:style>
  <w:style w:type="character" w:customStyle="1" w:styleId="71">
    <w:name w:val="正文文本缩进 3 Char"/>
    <w:link w:val="36"/>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3"/>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2"/>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7"/>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2"/>
    <w:qFormat/>
    <w:uiPriority w:val="0"/>
    <w:rPr>
      <w:rFonts w:ascii="Arial" w:hAnsi="Arial" w:eastAsia="黑体"/>
      <w:kern w:val="2"/>
      <w:sz w:val="21"/>
      <w:lang w:val="en-US" w:eastAsia="zh-CN" w:bidi="ar-SA"/>
    </w:rPr>
  </w:style>
  <w:style w:type="character" w:customStyle="1" w:styleId="90">
    <w:name w:val="标题 6 Char"/>
    <w:link w:val="9"/>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7"/>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basedOn w:val="47"/>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1"/>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39"/>
    <w:qFormat/>
    <w:uiPriority w:val="0"/>
    <w:rPr>
      <w:rFonts w:ascii="仿宋_GB2312" w:eastAsia="仿宋_GB2312"/>
      <w:kern w:val="2"/>
      <w:sz w:val="32"/>
      <w:szCs w:val="24"/>
      <w:lang w:val="en-US" w:eastAsia="zh-CN" w:bidi="ar-SA"/>
    </w:rPr>
  </w:style>
  <w:style w:type="character" w:customStyle="1" w:styleId="101">
    <w:name w:val="标题 2 Char"/>
    <w:link w:val="4"/>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8"/>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0"/>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5"/>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6"/>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18"/>
    <w:qFormat/>
    <w:uiPriority w:val="0"/>
    <w:rPr>
      <w:rFonts w:ascii="仿宋_GB2312" w:eastAsia="仿宋_GB2312"/>
      <w:sz w:val="28"/>
      <w:lang w:val="en-US" w:eastAsia="zh-CN" w:bidi="ar-SA"/>
    </w:rPr>
  </w:style>
  <w:style w:type="character" w:customStyle="1" w:styleId="123">
    <w:name w:val="页眉 Char"/>
    <w:link w:val="29"/>
    <w:qFormat/>
    <w:uiPriority w:val="99"/>
    <w:rPr>
      <w:rFonts w:eastAsia="宋体"/>
      <w:kern w:val="2"/>
      <w:sz w:val="18"/>
      <w:lang w:val="en-US" w:eastAsia="zh-CN" w:bidi="ar-SA"/>
    </w:rPr>
  </w:style>
  <w:style w:type="character" w:customStyle="1" w:styleId="124">
    <w:name w:val="标题 Char"/>
    <w:link w:val="43"/>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0"/>
    <w:qFormat/>
    <w:uiPriority w:val="0"/>
    <w:rPr>
      <w:i/>
      <w:kern w:val="2"/>
      <w:sz w:val="21"/>
      <w:szCs w:val="24"/>
    </w:rPr>
  </w:style>
  <w:style w:type="character" w:customStyle="1" w:styleId="129">
    <w:name w:val="标题 1 Char"/>
    <w:link w:val="3"/>
    <w:qFormat/>
    <w:uiPriority w:val="0"/>
    <w:rPr>
      <w:rFonts w:ascii="黑体" w:eastAsia="黑体"/>
      <w:bCs/>
      <w:kern w:val="44"/>
      <w:sz w:val="24"/>
      <w:szCs w:val="24"/>
    </w:rPr>
  </w:style>
  <w:style w:type="character" w:customStyle="1" w:styleId="130">
    <w:name w:val="批注文字 Char"/>
    <w:link w:val="17"/>
    <w:qFormat/>
    <w:uiPriority w:val="0"/>
    <w:rPr>
      <w:kern w:val="2"/>
      <w:sz w:val="24"/>
      <w:szCs w:val="24"/>
    </w:rPr>
  </w:style>
  <w:style w:type="character" w:customStyle="1" w:styleId="131">
    <w:name w:val="页脚 Char"/>
    <w:link w:val="28"/>
    <w:qFormat/>
    <w:uiPriority w:val="0"/>
    <w:rPr>
      <w:rFonts w:eastAsia="宋体"/>
      <w:kern w:val="2"/>
      <w:sz w:val="18"/>
      <w:lang w:val="en-US" w:eastAsia="zh-CN" w:bidi="ar-SA"/>
    </w:rPr>
  </w:style>
  <w:style w:type="character" w:customStyle="1" w:styleId="132">
    <w:name w:val="正文首行缩进 Char"/>
    <w:link w:val="44"/>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45"/>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44"/>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8"/>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7"/>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6">
    <w:name w:val="font01"/>
    <w:basedOn w:val="47"/>
    <w:qFormat/>
    <w:uiPriority w:val="0"/>
    <w:rPr>
      <w:rFonts w:hint="eastAsia" w:ascii="宋体" w:hAnsi="宋体" w:eastAsia="宋体" w:cs="宋体"/>
      <w:b/>
      <w:color w:val="000000"/>
      <w:sz w:val="20"/>
      <w:szCs w:val="20"/>
      <w:u w:val="none"/>
    </w:rPr>
  </w:style>
  <w:style w:type="character" w:customStyle="1" w:styleId="307">
    <w:name w:val="font41"/>
    <w:basedOn w:val="47"/>
    <w:qFormat/>
    <w:uiPriority w:val="0"/>
    <w:rPr>
      <w:rFonts w:hint="eastAsia" w:ascii="宋体" w:hAnsi="宋体" w:eastAsia="宋体" w:cs="宋体"/>
      <w:color w:val="000000"/>
      <w:sz w:val="20"/>
      <w:szCs w:val="20"/>
      <w:u w:val="none"/>
    </w:rPr>
  </w:style>
  <w:style w:type="character" w:customStyle="1" w:styleId="308">
    <w:name w:val="font31"/>
    <w:basedOn w:val="4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24791</Words>
  <Characters>26102</Characters>
  <Lines>286</Lines>
  <Paragraphs>80</Paragraphs>
  <TotalTime>3</TotalTime>
  <ScaleCrop>false</ScaleCrop>
  <LinksUpToDate>false</LinksUpToDate>
  <CharactersWithSpaces>31039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冯国辉</cp:lastModifiedBy>
  <cp:lastPrinted>2021-10-27T06:13:00Z</cp:lastPrinted>
  <dcterms:modified xsi:type="dcterms:W3CDTF">2022-07-11T04:29:44Z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DA3885E5040943589C53C7C158D2504B</vt:lpwstr>
  </property>
</Properties>
</file>